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080ED">
      <w:pPr>
        <w:spacing w:line="60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九华山风景区涉企收费清单（202</w:t>
      </w:r>
      <w:r>
        <w:rPr>
          <w:rFonts w:hint="eastAsia" w:ascii="方正小标宋简体" w:hAnsi="方正小标宋简体" w:eastAsia="方正小标宋简体" w:cs="方正小标宋简体"/>
          <w:sz w:val="44"/>
          <w:szCs w:val="44"/>
          <w:lang w:val="en-US" w:eastAsia="zh-CN"/>
        </w:rPr>
        <w:t>4</w:t>
      </w:r>
      <w:r>
        <w:rPr>
          <w:rFonts w:hint="eastAsia" w:ascii="方正小标宋简体" w:hAnsi="方正小标宋简体" w:eastAsia="方正小标宋简体" w:cs="方正小标宋简体"/>
          <w:sz w:val="44"/>
          <w:szCs w:val="44"/>
        </w:rPr>
        <w:t>年）</w:t>
      </w:r>
    </w:p>
    <w:p w14:paraId="0942266F">
      <w:pPr>
        <w:spacing w:line="600" w:lineRule="exact"/>
        <w:jc w:val="center"/>
        <w:outlineLvl w:val="0"/>
        <w:rPr>
          <w:rFonts w:ascii="黑体" w:eastAsia="黑体"/>
          <w:sz w:val="30"/>
          <w:szCs w:val="30"/>
        </w:rPr>
      </w:pPr>
      <w:r>
        <w:rPr>
          <w:rFonts w:hint="eastAsia" w:ascii="黑体" w:eastAsia="黑体"/>
          <w:sz w:val="30"/>
          <w:szCs w:val="30"/>
        </w:rPr>
        <w:t>一、行政事业性收费</w:t>
      </w:r>
    </w:p>
    <w:tbl>
      <w:tblPr>
        <w:tblStyle w:val="3"/>
        <w:tblW w:w="14775" w:type="dxa"/>
        <w:tblInd w:w="-5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475"/>
        <w:gridCol w:w="5910"/>
        <w:gridCol w:w="2116"/>
        <w:gridCol w:w="2099"/>
        <w:gridCol w:w="1470"/>
      </w:tblGrid>
      <w:tr w14:paraId="5B99A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05" w:type="dxa"/>
            <w:vAlign w:val="center"/>
          </w:tcPr>
          <w:p w14:paraId="1C35C38A">
            <w:pPr>
              <w:spacing w:line="400" w:lineRule="exact"/>
              <w:jc w:val="center"/>
              <w:rPr>
                <w:rFonts w:ascii="黑体" w:eastAsia="黑体"/>
                <w:sz w:val="24"/>
              </w:rPr>
            </w:pPr>
            <w:r>
              <w:rPr>
                <w:rFonts w:hint="eastAsia" w:ascii="黑体" w:eastAsia="黑体"/>
                <w:sz w:val="24"/>
              </w:rPr>
              <w:t>序号</w:t>
            </w:r>
          </w:p>
        </w:tc>
        <w:tc>
          <w:tcPr>
            <w:tcW w:w="2475" w:type="dxa"/>
            <w:vAlign w:val="center"/>
          </w:tcPr>
          <w:p w14:paraId="4FD570FE">
            <w:pPr>
              <w:spacing w:line="400" w:lineRule="exact"/>
              <w:jc w:val="center"/>
              <w:rPr>
                <w:rFonts w:ascii="黑体" w:eastAsia="黑体"/>
                <w:sz w:val="24"/>
              </w:rPr>
            </w:pPr>
            <w:r>
              <w:rPr>
                <w:rFonts w:hint="eastAsia" w:ascii="黑体" w:eastAsia="黑体"/>
                <w:sz w:val="24"/>
              </w:rPr>
              <w:t>收费项目</w:t>
            </w:r>
          </w:p>
        </w:tc>
        <w:tc>
          <w:tcPr>
            <w:tcW w:w="5910" w:type="dxa"/>
            <w:vAlign w:val="center"/>
          </w:tcPr>
          <w:p w14:paraId="0DD6A21A">
            <w:pPr>
              <w:spacing w:line="400" w:lineRule="exact"/>
              <w:jc w:val="center"/>
              <w:rPr>
                <w:rFonts w:ascii="黑体" w:eastAsia="黑体"/>
                <w:sz w:val="24"/>
              </w:rPr>
            </w:pPr>
            <w:r>
              <w:rPr>
                <w:rFonts w:hint="eastAsia" w:ascii="黑体" w:eastAsia="黑体"/>
                <w:sz w:val="24"/>
              </w:rPr>
              <w:t>收费依据</w:t>
            </w:r>
          </w:p>
        </w:tc>
        <w:tc>
          <w:tcPr>
            <w:tcW w:w="2116" w:type="dxa"/>
            <w:vAlign w:val="center"/>
          </w:tcPr>
          <w:p w14:paraId="041C02BF">
            <w:pPr>
              <w:spacing w:line="400" w:lineRule="exact"/>
              <w:jc w:val="center"/>
              <w:rPr>
                <w:rFonts w:ascii="黑体" w:eastAsia="黑体"/>
                <w:sz w:val="24"/>
              </w:rPr>
            </w:pPr>
            <w:r>
              <w:rPr>
                <w:rFonts w:hint="eastAsia" w:ascii="黑体" w:eastAsia="黑体"/>
                <w:sz w:val="24"/>
              </w:rPr>
              <w:t>收费范围和对象</w:t>
            </w:r>
          </w:p>
        </w:tc>
        <w:tc>
          <w:tcPr>
            <w:tcW w:w="2099" w:type="dxa"/>
            <w:vAlign w:val="center"/>
          </w:tcPr>
          <w:p w14:paraId="55C1B9EF">
            <w:pPr>
              <w:spacing w:line="400" w:lineRule="exact"/>
              <w:jc w:val="center"/>
              <w:rPr>
                <w:rFonts w:ascii="黑体" w:eastAsia="黑体"/>
                <w:sz w:val="24"/>
              </w:rPr>
            </w:pPr>
            <w:r>
              <w:rPr>
                <w:rFonts w:hint="eastAsia" w:ascii="黑体" w:eastAsia="黑体"/>
                <w:sz w:val="24"/>
              </w:rPr>
              <w:t>收费标准</w:t>
            </w:r>
          </w:p>
        </w:tc>
        <w:tc>
          <w:tcPr>
            <w:tcW w:w="1470" w:type="dxa"/>
            <w:vAlign w:val="center"/>
          </w:tcPr>
          <w:p w14:paraId="1F3EF23F">
            <w:pPr>
              <w:spacing w:line="400" w:lineRule="exact"/>
              <w:jc w:val="center"/>
              <w:rPr>
                <w:rFonts w:ascii="黑体" w:eastAsia="黑体"/>
                <w:sz w:val="24"/>
              </w:rPr>
            </w:pPr>
            <w:r>
              <w:rPr>
                <w:rFonts w:hint="eastAsia" w:ascii="黑体" w:eastAsia="黑体"/>
                <w:sz w:val="24"/>
              </w:rPr>
              <w:t>执收单位</w:t>
            </w:r>
          </w:p>
        </w:tc>
      </w:tr>
      <w:tr w14:paraId="621F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4775" w:type="dxa"/>
            <w:gridSpan w:val="6"/>
            <w:vAlign w:val="center"/>
          </w:tcPr>
          <w:p w14:paraId="6044EA12">
            <w:pPr>
              <w:spacing w:line="400" w:lineRule="exact"/>
              <w:jc w:val="center"/>
              <w:rPr>
                <w:rFonts w:ascii="楷体_GB2312" w:eastAsia="楷体_GB2312"/>
                <w:sz w:val="24"/>
              </w:rPr>
            </w:pPr>
            <w:r>
              <w:rPr>
                <w:rFonts w:hint="eastAsia" w:ascii="楷体_GB2312" w:eastAsia="楷体_GB2312"/>
                <w:sz w:val="24"/>
              </w:rPr>
              <w:t>一、法院部门</w:t>
            </w:r>
          </w:p>
        </w:tc>
      </w:tr>
      <w:tr w14:paraId="3AFCD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705" w:type="dxa"/>
            <w:vAlign w:val="center"/>
          </w:tcPr>
          <w:p w14:paraId="0B8D5603">
            <w:pPr>
              <w:widowControl/>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1</w:t>
            </w:r>
          </w:p>
        </w:tc>
        <w:tc>
          <w:tcPr>
            <w:tcW w:w="2475" w:type="dxa"/>
            <w:vAlign w:val="center"/>
          </w:tcPr>
          <w:p w14:paraId="5831C271">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诉讼费</w:t>
            </w:r>
          </w:p>
        </w:tc>
        <w:tc>
          <w:tcPr>
            <w:tcW w:w="5910" w:type="dxa"/>
            <w:vAlign w:val="center"/>
          </w:tcPr>
          <w:p w14:paraId="3992E5A3">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《诉讼费用交纳办法》（国务院令第 481 号）；省物价局、省财政厅皖价费函〔2011〕217号</w:t>
            </w:r>
          </w:p>
        </w:tc>
        <w:tc>
          <w:tcPr>
            <w:tcW w:w="2116" w:type="dxa"/>
            <w:vAlign w:val="center"/>
          </w:tcPr>
          <w:p w14:paraId="090E5890">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诉讼案件当事人</w:t>
            </w:r>
          </w:p>
        </w:tc>
        <w:tc>
          <w:tcPr>
            <w:tcW w:w="2099" w:type="dxa"/>
            <w:vAlign w:val="center"/>
          </w:tcPr>
          <w:p w14:paraId="471AAEC8">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详见收费依据文件</w:t>
            </w:r>
          </w:p>
        </w:tc>
        <w:tc>
          <w:tcPr>
            <w:tcW w:w="1470" w:type="dxa"/>
            <w:vAlign w:val="center"/>
          </w:tcPr>
          <w:p w14:paraId="159F9E2B">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九华山人民法院</w:t>
            </w:r>
          </w:p>
        </w:tc>
      </w:tr>
      <w:tr w14:paraId="5ECEF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4775" w:type="dxa"/>
            <w:gridSpan w:val="6"/>
            <w:vAlign w:val="center"/>
          </w:tcPr>
          <w:p w14:paraId="48CEA7D7">
            <w:pPr>
              <w:widowControl/>
              <w:snapToGrid w:val="0"/>
              <w:spacing w:line="300" w:lineRule="exact"/>
              <w:jc w:val="center"/>
              <w:rPr>
                <w:rFonts w:ascii="仿宋_GB2312" w:eastAsia="仿宋_GB2312" w:cs="宋体"/>
                <w:snapToGrid w:val="0"/>
                <w:kern w:val="0"/>
                <w:szCs w:val="21"/>
              </w:rPr>
            </w:pPr>
            <w:r>
              <w:rPr>
                <w:rFonts w:hint="eastAsia" w:ascii="楷体_GB2312" w:eastAsia="楷体_GB2312"/>
                <w:sz w:val="24"/>
              </w:rPr>
              <w:t>二、公安部门</w:t>
            </w:r>
          </w:p>
        </w:tc>
      </w:tr>
      <w:tr w14:paraId="68412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05" w:type="dxa"/>
            <w:vAlign w:val="center"/>
          </w:tcPr>
          <w:p w14:paraId="26B6DCA2">
            <w:pPr>
              <w:widowControl/>
              <w:snapToGrid w:val="0"/>
              <w:spacing w:line="300" w:lineRule="exact"/>
              <w:jc w:val="center"/>
              <w:rPr>
                <w:rFonts w:ascii="仿宋_GB2312" w:eastAsia="仿宋_GB2312" w:cs="宋体"/>
                <w:snapToGrid w:val="0"/>
                <w:kern w:val="0"/>
                <w:sz w:val="18"/>
                <w:szCs w:val="18"/>
              </w:rPr>
            </w:pPr>
            <w:r>
              <w:rPr>
                <w:rFonts w:hint="eastAsia" w:ascii="仿宋_GB2312" w:eastAsia="仿宋_GB2312" w:cs="宋体"/>
                <w:snapToGrid w:val="0"/>
                <w:kern w:val="0"/>
                <w:sz w:val="18"/>
                <w:szCs w:val="18"/>
              </w:rPr>
              <w:t>2</w:t>
            </w:r>
          </w:p>
        </w:tc>
        <w:tc>
          <w:tcPr>
            <w:tcW w:w="2475" w:type="dxa"/>
            <w:vAlign w:val="center"/>
          </w:tcPr>
          <w:p w14:paraId="59633F26">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证照费</w:t>
            </w:r>
          </w:p>
          <w:p w14:paraId="1978EAB0">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（1）机动车号牌工本费</w:t>
            </w:r>
          </w:p>
          <w:p w14:paraId="3A616C21">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（2）机动车行驶证、登记证工本费</w:t>
            </w:r>
          </w:p>
          <w:p w14:paraId="0E10A7EB">
            <w:pPr>
              <w:widowControl/>
              <w:snapToGrid w:val="0"/>
              <w:spacing w:line="300" w:lineRule="exact"/>
              <w:rPr>
                <w:rFonts w:ascii="仿宋_GB2312" w:eastAsia="仿宋_GB2312" w:cs="宋体"/>
                <w:snapToGrid w:val="0"/>
                <w:kern w:val="0"/>
                <w:sz w:val="18"/>
                <w:szCs w:val="18"/>
              </w:rPr>
            </w:pPr>
            <w:r>
              <w:rPr>
                <w:rFonts w:hint="eastAsia" w:ascii="仿宋_GB2312" w:eastAsia="仿宋_GB2312" w:cs="宋体"/>
                <w:snapToGrid w:val="0"/>
                <w:kern w:val="0"/>
                <w:szCs w:val="21"/>
              </w:rPr>
              <w:t>（3）临时入境机动车号牌和行驶证工本费</w:t>
            </w:r>
          </w:p>
        </w:tc>
        <w:tc>
          <w:tcPr>
            <w:tcW w:w="5910" w:type="dxa"/>
            <w:vAlign w:val="center"/>
          </w:tcPr>
          <w:p w14:paraId="6E48EFF5">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国家计委、财政部计价格〔1994〕783号；国家物价局、财政部价费字〔1992〕240号；国家发展改革委、财政部发改价格〔2004〕2831号、发改价格〔2008〕1575号、发改价格〔2017〕1186号、发改价格规〔2019〕1931号；财政部、国家发展改革委财综〔2008〕36号</w:t>
            </w:r>
          </w:p>
        </w:tc>
        <w:tc>
          <w:tcPr>
            <w:tcW w:w="2116" w:type="dxa"/>
            <w:vAlign w:val="center"/>
          </w:tcPr>
          <w:p w14:paraId="65EFE727">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机动车有关证照申请人</w:t>
            </w:r>
          </w:p>
        </w:tc>
        <w:tc>
          <w:tcPr>
            <w:tcW w:w="2099" w:type="dxa"/>
            <w:vAlign w:val="center"/>
          </w:tcPr>
          <w:p w14:paraId="2EFA676E">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详见收费依据文件</w:t>
            </w:r>
          </w:p>
        </w:tc>
        <w:tc>
          <w:tcPr>
            <w:tcW w:w="1470" w:type="dxa"/>
            <w:vAlign w:val="center"/>
          </w:tcPr>
          <w:p w14:paraId="3EA12F56">
            <w:pPr>
              <w:widowControl/>
              <w:snapToGrid w:val="0"/>
              <w:spacing w:line="300" w:lineRule="exact"/>
              <w:rPr>
                <w:rFonts w:ascii="仿宋_GB2312" w:eastAsia="仿宋_GB2312" w:cs="宋体"/>
                <w:snapToGrid w:val="0"/>
                <w:kern w:val="0"/>
                <w:szCs w:val="21"/>
              </w:rPr>
            </w:pPr>
            <w:r>
              <w:rPr>
                <w:rFonts w:hint="eastAsia" w:ascii="宋体" w:hAnsi="宋体" w:cs="宋体"/>
                <w:snapToGrid w:val="0"/>
                <w:kern w:val="0"/>
                <w:sz w:val="18"/>
                <w:szCs w:val="18"/>
              </w:rPr>
              <w:t>九华山公安局交通警察</w:t>
            </w:r>
            <w:r>
              <w:rPr>
                <w:rFonts w:hint="eastAsia" w:ascii="宋体" w:hAnsi="宋体" w:cs="宋体"/>
                <w:snapToGrid w:val="0"/>
                <w:kern w:val="0"/>
                <w:sz w:val="18"/>
                <w:szCs w:val="18"/>
                <w:lang w:val="en-US" w:eastAsia="zh-CN"/>
              </w:rPr>
              <w:t>大</w:t>
            </w:r>
            <w:r>
              <w:rPr>
                <w:rFonts w:hint="eastAsia" w:ascii="宋体" w:hAnsi="宋体" w:cs="宋体"/>
                <w:snapToGrid w:val="0"/>
                <w:kern w:val="0"/>
                <w:sz w:val="18"/>
                <w:szCs w:val="18"/>
              </w:rPr>
              <w:t>队</w:t>
            </w:r>
          </w:p>
        </w:tc>
      </w:tr>
    </w:tbl>
    <w:p w14:paraId="5C9458EB">
      <w:pPr>
        <w:pStyle w:val="2"/>
        <w:jc w:val="both"/>
      </w:pPr>
    </w:p>
    <w:p w14:paraId="3CCE3E97">
      <w:pPr>
        <w:pStyle w:val="2"/>
        <w:jc w:val="both"/>
      </w:pPr>
    </w:p>
    <w:p w14:paraId="00BBD172">
      <w:pPr>
        <w:pStyle w:val="2"/>
        <w:jc w:val="both"/>
      </w:pPr>
    </w:p>
    <w:p w14:paraId="5351811B">
      <w:pPr>
        <w:pStyle w:val="2"/>
        <w:jc w:val="both"/>
      </w:pPr>
      <w:bookmarkStart w:id="0" w:name="_GoBack"/>
      <w:bookmarkEnd w:id="0"/>
    </w:p>
    <w:p w14:paraId="3F6C5636">
      <w:pPr>
        <w:pStyle w:val="2"/>
        <w:jc w:val="both"/>
      </w:pPr>
    </w:p>
    <w:p w14:paraId="71C0C0EC">
      <w:pPr>
        <w:pStyle w:val="2"/>
        <w:jc w:val="both"/>
      </w:pPr>
    </w:p>
    <w:p w14:paraId="389EDB2C">
      <w:pPr>
        <w:pStyle w:val="2"/>
        <w:jc w:val="both"/>
      </w:pPr>
    </w:p>
    <w:p w14:paraId="66C565F5">
      <w:pPr>
        <w:pStyle w:val="2"/>
        <w:jc w:val="both"/>
      </w:pPr>
    </w:p>
    <w:tbl>
      <w:tblPr>
        <w:tblStyle w:val="3"/>
        <w:tblpPr w:leftFromText="180" w:rightFromText="180" w:vertAnchor="text" w:horzAnchor="page" w:tblpX="1321" w:tblpY="222"/>
        <w:tblOverlap w:val="never"/>
        <w:tblW w:w="147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475"/>
        <w:gridCol w:w="5638"/>
        <w:gridCol w:w="2237"/>
        <w:gridCol w:w="2250"/>
        <w:gridCol w:w="1470"/>
      </w:tblGrid>
      <w:tr w14:paraId="60E58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5" w:type="dxa"/>
            <w:vAlign w:val="center"/>
          </w:tcPr>
          <w:p w14:paraId="5371B39D">
            <w:pPr>
              <w:spacing w:line="400" w:lineRule="exact"/>
              <w:jc w:val="center"/>
              <w:rPr>
                <w:rFonts w:ascii="黑体" w:eastAsia="黑体"/>
                <w:sz w:val="24"/>
              </w:rPr>
            </w:pPr>
            <w:r>
              <w:rPr>
                <w:rFonts w:hint="eastAsia" w:ascii="黑体" w:eastAsia="黑体"/>
                <w:sz w:val="24"/>
              </w:rPr>
              <w:t>序号</w:t>
            </w:r>
          </w:p>
        </w:tc>
        <w:tc>
          <w:tcPr>
            <w:tcW w:w="2475" w:type="dxa"/>
            <w:vAlign w:val="center"/>
          </w:tcPr>
          <w:p w14:paraId="144CC3B6">
            <w:pPr>
              <w:spacing w:line="400" w:lineRule="exact"/>
              <w:jc w:val="center"/>
              <w:rPr>
                <w:rFonts w:ascii="黑体" w:eastAsia="黑体"/>
                <w:sz w:val="24"/>
              </w:rPr>
            </w:pPr>
            <w:r>
              <w:rPr>
                <w:rFonts w:hint="eastAsia" w:ascii="黑体" w:eastAsia="黑体"/>
                <w:sz w:val="24"/>
              </w:rPr>
              <w:t>收费项目</w:t>
            </w:r>
          </w:p>
        </w:tc>
        <w:tc>
          <w:tcPr>
            <w:tcW w:w="5638" w:type="dxa"/>
            <w:vAlign w:val="center"/>
          </w:tcPr>
          <w:p w14:paraId="7051C4D2">
            <w:pPr>
              <w:spacing w:line="400" w:lineRule="exact"/>
              <w:jc w:val="center"/>
              <w:rPr>
                <w:rFonts w:ascii="黑体" w:eastAsia="黑体"/>
                <w:sz w:val="24"/>
              </w:rPr>
            </w:pPr>
            <w:r>
              <w:rPr>
                <w:rFonts w:hint="eastAsia" w:ascii="黑体" w:eastAsia="黑体"/>
                <w:sz w:val="24"/>
              </w:rPr>
              <w:t>收费依据</w:t>
            </w:r>
          </w:p>
        </w:tc>
        <w:tc>
          <w:tcPr>
            <w:tcW w:w="2237" w:type="dxa"/>
            <w:vAlign w:val="center"/>
          </w:tcPr>
          <w:p w14:paraId="05B5FC36">
            <w:pPr>
              <w:spacing w:line="400" w:lineRule="exact"/>
              <w:jc w:val="center"/>
              <w:rPr>
                <w:rFonts w:ascii="黑体" w:eastAsia="黑体"/>
                <w:sz w:val="24"/>
              </w:rPr>
            </w:pPr>
            <w:r>
              <w:rPr>
                <w:rFonts w:hint="eastAsia" w:ascii="黑体" w:eastAsia="黑体"/>
                <w:sz w:val="24"/>
              </w:rPr>
              <w:t>收费范围和对象</w:t>
            </w:r>
          </w:p>
        </w:tc>
        <w:tc>
          <w:tcPr>
            <w:tcW w:w="2250" w:type="dxa"/>
            <w:vAlign w:val="center"/>
          </w:tcPr>
          <w:p w14:paraId="1824A444">
            <w:pPr>
              <w:spacing w:line="400" w:lineRule="exact"/>
              <w:jc w:val="center"/>
              <w:rPr>
                <w:rFonts w:ascii="黑体" w:eastAsia="黑体"/>
                <w:sz w:val="24"/>
              </w:rPr>
            </w:pPr>
            <w:r>
              <w:rPr>
                <w:rFonts w:hint="eastAsia" w:ascii="黑体" w:eastAsia="黑体"/>
                <w:sz w:val="24"/>
              </w:rPr>
              <w:t>收费标准</w:t>
            </w:r>
          </w:p>
        </w:tc>
        <w:tc>
          <w:tcPr>
            <w:tcW w:w="1470" w:type="dxa"/>
            <w:vAlign w:val="center"/>
          </w:tcPr>
          <w:p w14:paraId="0B91080C">
            <w:pPr>
              <w:spacing w:line="400" w:lineRule="exact"/>
              <w:jc w:val="center"/>
              <w:rPr>
                <w:rFonts w:ascii="黑体" w:eastAsia="黑体"/>
                <w:sz w:val="24"/>
              </w:rPr>
            </w:pPr>
            <w:r>
              <w:rPr>
                <w:rFonts w:hint="eastAsia" w:ascii="黑体" w:eastAsia="黑体"/>
                <w:sz w:val="24"/>
              </w:rPr>
              <w:t>执收单位</w:t>
            </w:r>
          </w:p>
        </w:tc>
      </w:tr>
      <w:tr w14:paraId="1A824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4775" w:type="dxa"/>
            <w:gridSpan w:val="6"/>
            <w:vAlign w:val="center"/>
          </w:tcPr>
          <w:p w14:paraId="1C82B05C">
            <w:pPr>
              <w:spacing w:line="400" w:lineRule="exact"/>
              <w:jc w:val="center"/>
              <w:rPr>
                <w:rFonts w:ascii="仿宋_GB2312" w:eastAsia="仿宋_GB2312" w:cs="宋体"/>
                <w:snapToGrid w:val="0"/>
                <w:kern w:val="0"/>
                <w:szCs w:val="21"/>
              </w:rPr>
            </w:pPr>
            <w:r>
              <w:rPr>
                <w:rFonts w:hint="eastAsia" w:ascii="楷体_GB2312" w:eastAsia="楷体_GB2312"/>
                <w:sz w:val="24"/>
              </w:rPr>
              <w:t>三、</w:t>
            </w:r>
            <w:r>
              <w:rPr>
                <w:rFonts w:hint="eastAsia" w:ascii="楷体_GB2312" w:hAnsi="楷体_GB2312" w:eastAsia="楷体_GB2312" w:cs="楷体_GB2312"/>
                <w:snapToGrid w:val="0"/>
                <w:kern w:val="0"/>
                <w:sz w:val="24"/>
              </w:rPr>
              <w:t>自然资源和规划</w:t>
            </w:r>
            <w:r>
              <w:rPr>
                <w:rFonts w:hint="eastAsia" w:ascii="楷体_GB2312" w:eastAsia="楷体_GB2312"/>
                <w:sz w:val="24"/>
              </w:rPr>
              <w:t>部门</w:t>
            </w:r>
          </w:p>
        </w:tc>
      </w:tr>
      <w:tr w14:paraId="189B8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705" w:type="dxa"/>
            <w:vAlign w:val="center"/>
          </w:tcPr>
          <w:p w14:paraId="59EA7F08">
            <w:pPr>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3</w:t>
            </w:r>
          </w:p>
        </w:tc>
        <w:tc>
          <w:tcPr>
            <w:tcW w:w="2475" w:type="dxa"/>
            <w:vAlign w:val="center"/>
          </w:tcPr>
          <w:p w14:paraId="4A763F95">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土地复垦费</w:t>
            </w:r>
          </w:p>
        </w:tc>
        <w:tc>
          <w:tcPr>
            <w:tcW w:w="5638" w:type="dxa"/>
            <w:vMerge w:val="restart"/>
            <w:vAlign w:val="center"/>
          </w:tcPr>
          <w:p w14:paraId="3255D2ED">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中华人民共和国土地管理法》；《城市房地产管理法》；《土地复垦条例》；财政部、国家发展改革财税〔2014〕77号；财政部等六部门公告2019年第76号；财政部财税〔2021〕8号；国家税务总局等五部门公告2021年第12号；省财政厅、省国土资源厅、省物价局财综〔2001〕1061号；省发展改革委、省财政厅、省自然资源厅皖发改收费〔2019〕33号；国家税务总局安徽省税务局公告2021年第3号；《安徽省实施〈中华人民共和国土地管理法〉办法》</w:t>
            </w:r>
          </w:p>
          <w:p w14:paraId="5A0B17F2">
            <w:pPr>
              <w:snapToGrid w:val="0"/>
              <w:spacing w:line="300" w:lineRule="exact"/>
              <w:rPr>
                <w:rFonts w:ascii="仿宋_GB2312" w:eastAsia="仿宋_GB2312" w:cs="宋体"/>
                <w:snapToGrid w:val="0"/>
                <w:kern w:val="0"/>
                <w:szCs w:val="21"/>
              </w:rPr>
            </w:pPr>
          </w:p>
        </w:tc>
        <w:tc>
          <w:tcPr>
            <w:tcW w:w="2237" w:type="dxa"/>
            <w:vAlign w:val="center"/>
          </w:tcPr>
          <w:p w14:paraId="4E536E55">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因挖损、塌陷、压占等造成土地破坏，没有条件复垦和复垦不符合要求的用地单位和个人</w:t>
            </w:r>
          </w:p>
        </w:tc>
        <w:tc>
          <w:tcPr>
            <w:tcW w:w="2250" w:type="dxa"/>
            <w:vAlign w:val="center"/>
          </w:tcPr>
          <w:p w14:paraId="129DE36B">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详见收费依据文件</w:t>
            </w:r>
          </w:p>
          <w:p w14:paraId="332334E6">
            <w:pPr>
              <w:snapToGrid w:val="0"/>
              <w:spacing w:line="300" w:lineRule="exact"/>
              <w:rPr>
                <w:rFonts w:ascii="仿宋_GB2312" w:eastAsia="仿宋_GB2312" w:cs="宋体"/>
                <w:snapToGrid w:val="0"/>
                <w:kern w:val="0"/>
                <w:szCs w:val="21"/>
              </w:rPr>
            </w:pPr>
          </w:p>
        </w:tc>
        <w:tc>
          <w:tcPr>
            <w:tcW w:w="1470" w:type="dxa"/>
            <w:vAlign w:val="center"/>
          </w:tcPr>
          <w:p w14:paraId="2048DFE6">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池州市自然资源和规划局九华山分局</w:t>
            </w:r>
          </w:p>
        </w:tc>
      </w:tr>
      <w:tr w14:paraId="5F21E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5" w:type="dxa"/>
            <w:vAlign w:val="center"/>
          </w:tcPr>
          <w:p w14:paraId="0B3D8271">
            <w:pPr>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4</w:t>
            </w:r>
          </w:p>
        </w:tc>
        <w:tc>
          <w:tcPr>
            <w:tcW w:w="2475" w:type="dxa"/>
            <w:vAlign w:val="center"/>
          </w:tcPr>
          <w:p w14:paraId="17F11ADA">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土地闲置费</w:t>
            </w:r>
          </w:p>
        </w:tc>
        <w:tc>
          <w:tcPr>
            <w:tcW w:w="5638" w:type="dxa"/>
            <w:vMerge w:val="continue"/>
            <w:vAlign w:val="center"/>
          </w:tcPr>
          <w:p w14:paraId="0034C9AD">
            <w:pPr>
              <w:snapToGrid w:val="0"/>
              <w:spacing w:line="300" w:lineRule="exact"/>
              <w:rPr>
                <w:rFonts w:ascii="仿宋_GB2312" w:eastAsia="仿宋_GB2312" w:cs="宋体"/>
                <w:snapToGrid w:val="0"/>
                <w:kern w:val="0"/>
                <w:szCs w:val="21"/>
              </w:rPr>
            </w:pPr>
          </w:p>
        </w:tc>
        <w:tc>
          <w:tcPr>
            <w:tcW w:w="2237" w:type="dxa"/>
            <w:vAlign w:val="center"/>
          </w:tcPr>
          <w:p w14:paraId="69BC83E9">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1.非政府、政府有关部门的行为造成国有建设用地使用权人超过国有建设用地使用权有偿使用合同或者划拨决定书约定、规定的动工开发日期满一年未动工开发的；2.非政府、政府有关部门的行为造成已动工开发但开发建设用地面积占应动工开发建设用地总面积不足三分之一或者已投资额占总投资额不足百分之二十五，中止开发满一年的未动工开发的</w:t>
            </w:r>
          </w:p>
        </w:tc>
        <w:tc>
          <w:tcPr>
            <w:tcW w:w="2250" w:type="dxa"/>
            <w:vAlign w:val="center"/>
          </w:tcPr>
          <w:p w14:paraId="7C95E422">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相当于土地使用权出让金百分之二十以下</w:t>
            </w:r>
          </w:p>
        </w:tc>
        <w:tc>
          <w:tcPr>
            <w:tcW w:w="1470" w:type="dxa"/>
            <w:vAlign w:val="center"/>
          </w:tcPr>
          <w:p w14:paraId="598A6080">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税务局</w:t>
            </w:r>
          </w:p>
        </w:tc>
      </w:tr>
    </w:tbl>
    <w:p w14:paraId="358FF7B8">
      <w:pPr>
        <w:pStyle w:val="2"/>
        <w:jc w:val="both"/>
      </w:pPr>
    </w:p>
    <w:tbl>
      <w:tblPr>
        <w:tblStyle w:val="3"/>
        <w:tblpPr w:leftFromText="180" w:rightFromText="180" w:vertAnchor="text" w:horzAnchor="page" w:tblpX="1213" w:tblpY="117"/>
        <w:tblOverlap w:val="never"/>
        <w:tblW w:w="147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475"/>
        <w:gridCol w:w="5910"/>
        <w:gridCol w:w="1965"/>
        <w:gridCol w:w="2250"/>
        <w:gridCol w:w="1470"/>
      </w:tblGrid>
      <w:tr w14:paraId="2B599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5" w:type="dxa"/>
            <w:vAlign w:val="center"/>
          </w:tcPr>
          <w:p w14:paraId="4C63ABDA">
            <w:pPr>
              <w:spacing w:line="400" w:lineRule="exact"/>
              <w:jc w:val="center"/>
              <w:rPr>
                <w:rFonts w:ascii="黑体" w:eastAsia="黑体"/>
                <w:sz w:val="24"/>
              </w:rPr>
            </w:pPr>
            <w:r>
              <w:rPr>
                <w:rFonts w:hint="eastAsia" w:ascii="黑体" w:eastAsia="黑体"/>
                <w:sz w:val="24"/>
              </w:rPr>
              <w:t>序号</w:t>
            </w:r>
          </w:p>
        </w:tc>
        <w:tc>
          <w:tcPr>
            <w:tcW w:w="2475" w:type="dxa"/>
            <w:vAlign w:val="center"/>
          </w:tcPr>
          <w:p w14:paraId="7C5001C7">
            <w:pPr>
              <w:spacing w:line="400" w:lineRule="exact"/>
              <w:jc w:val="center"/>
              <w:rPr>
                <w:rFonts w:ascii="黑体" w:eastAsia="黑体"/>
                <w:sz w:val="24"/>
              </w:rPr>
            </w:pPr>
            <w:r>
              <w:rPr>
                <w:rFonts w:hint="eastAsia" w:ascii="黑体" w:eastAsia="黑体"/>
                <w:sz w:val="24"/>
              </w:rPr>
              <w:t>收费项目</w:t>
            </w:r>
          </w:p>
        </w:tc>
        <w:tc>
          <w:tcPr>
            <w:tcW w:w="5910" w:type="dxa"/>
            <w:vAlign w:val="center"/>
          </w:tcPr>
          <w:p w14:paraId="7399B777">
            <w:pPr>
              <w:spacing w:line="400" w:lineRule="exact"/>
              <w:jc w:val="center"/>
              <w:rPr>
                <w:rFonts w:ascii="黑体" w:eastAsia="黑体"/>
                <w:sz w:val="24"/>
              </w:rPr>
            </w:pPr>
            <w:r>
              <w:rPr>
                <w:rFonts w:hint="eastAsia" w:ascii="黑体" w:eastAsia="黑体"/>
                <w:sz w:val="24"/>
              </w:rPr>
              <w:t>收费依据</w:t>
            </w:r>
          </w:p>
        </w:tc>
        <w:tc>
          <w:tcPr>
            <w:tcW w:w="1965" w:type="dxa"/>
            <w:vAlign w:val="center"/>
          </w:tcPr>
          <w:p w14:paraId="5537A2AD">
            <w:pPr>
              <w:spacing w:line="400" w:lineRule="exact"/>
              <w:jc w:val="center"/>
              <w:rPr>
                <w:rFonts w:ascii="黑体" w:eastAsia="黑体"/>
                <w:sz w:val="24"/>
              </w:rPr>
            </w:pPr>
            <w:r>
              <w:rPr>
                <w:rFonts w:hint="eastAsia" w:ascii="黑体" w:eastAsia="黑体"/>
                <w:sz w:val="24"/>
              </w:rPr>
              <w:t>收费范围和对象</w:t>
            </w:r>
          </w:p>
        </w:tc>
        <w:tc>
          <w:tcPr>
            <w:tcW w:w="2250" w:type="dxa"/>
            <w:vAlign w:val="center"/>
          </w:tcPr>
          <w:p w14:paraId="574251FC">
            <w:pPr>
              <w:spacing w:line="400" w:lineRule="exact"/>
              <w:jc w:val="center"/>
              <w:rPr>
                <w:rFonts w:ascii="黑体" w:eastAsia="黑体"/>
                <w:sz w:val="24"/>
              </w:rPr>
            </w:pPr>
            <w:r>
              <w:rPr>
                <w:rFonts w:hint="eastAsia" w:ascii="黑体" w:eastAsia="黑体"/>
                <w:sz w:val="24"/>
              </w:rPr>
              <w:t>收费标准</w:t>
            </w:r>
          </w:p>
        </w:tc>
        <w:tc>
          <w:tcPr>
            <w:tcW w:w="1470" w:type="dxa"/>
            <w:vAlign w:val="center"/>
          </w:tcPr>
          <w:p w14:paraId="0F2DAAB6">
            <w:pPr>
              <w:spacing w:line="400" w:lineRule="exact"/>
              <w:jc w:val="center"/>
              <w:rPr>
                <w:rFonts w:ascii="黑体" w:eastAsia="黑体"/>
                <w:sz w:val="24"/>
              </w:rPr>
            </w:pPr>
            <w:r>
              <w:rPr>
                <w:rFonts w:hint="eastAsia" w:ascii="黑体" w:eastAsia="黑体"/>
                <w:sz w:val="24"/>
              </w:rPr>
              <w:t>执收单位</w:t>
            </w:r>
          </w:p>
        </w:tc>
      </w:tr>
      <w:tr w14:paraId="37DE1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3" w:hRule="atLeast"/>
        </w:trPr>
        <w:tc>
          <w:tcPr>
            <w:tcW w:w="705" w:type="dxa"/>
            <w:vAlign w:val="center"/>
          </w:tcPr>
          <w:p w14:paraId="211D37A7">
            <w:pPr>
              <w:widowControl/>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5</w:t>
            </w:r>
          </w:p>
        </w:tc>
        <w:tc>
          <w:tcPr>
            <w:tcW w:w="2475" w:type="dxa"/>
            <w:vAlign w:val="center"/>
          </w:tcPr>
          <w:p w14:paraId="380889E6">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耕地开垦费</w:t>
            </w:r>
          </w:p>
        </w:tc>
        <w:tc>
          <w:tcPr>
            <w:tcW w:w="5910" w:type="dxa"/>
            <w:vAlign w:val="center"/>
          </w:tcPr>
          <w:p w14:paraId="4B58BEB7">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中华人民共和国土地管理法》；《城市房地产管理法》；《土地复垦条例》；财政部、国家发展改革财税〔2014〕77号；财政部等六部门公告2019年第76号；财政部财税〔2021〕8号；国家税务总局等五部门公告2021年第12号；省财政厅、省国土资源厅、省物价局财综〔2001〕1061号；省发展改革委、省财政厅、省自然资源厅皖发改收费〔2019〕33号；国家税务总局安徽省税务局公告2021年第3号；《安徽省实施〈中华人民共和国土地管理法〉办法》</w:t>
            </w:r>
          </w:p>
        </w:tc>
        <w:tc>
          <w:tcPr>
            <w:tcW w:w="1965" w:type="dxa"/>
            <w:vAlign w:val="center"/>
          </w:tcPr>
          <w:p w14:paraId="38FB7C62">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非农业建设经批准占用耕地，没有条件开垦或开垦的耕地不符合要求的单位和个人</w:t>
            </w:r>
          </w:p>
        </w:tc>
        <w:tc>
          <w:tcPr>
            <w:tcW w:w="2250" w:type="dxa"/>
            <w:vAlign w:val="center"/>
          </w:tcPr>
          <w:p w14:paraId="34081ECF">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24－36元/平方米；占用永久基本农田的，按照当地耕地开垦费标准的2倍缴纳。</w:t>
            </w:r>
          </w:p>
          <w:p w14:paraId="215634F4">
            <w:pPr>
              <w:widowControl/>
              <w:snapToGrid w:val="0"/>
              <w:spacing w:line="300" w:lineRule="exact"/>
              <w:rPr>
                <w:rFonts w:ascii="仿宋_GB2312" w:eastAsia="仿宋_GB2312" w:cs="宋体"/>
                <w:snapToGrid w:val="0"/>
                <w:kern w:val="0"/>
                <w:szCs w:val="21"/>
              </w:rPr>
            </w:pPr>
          </w:p>
        </w:tc>
        <w:tc>
          <w:tcPr>
            <w:tcW w:w="1470" w:type="dxa"/>
            <w:vAlign w:val="center"/>
          </w:tcPr>
          <w:p w14:paraId="22B40B69">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池州市自然资源和规划局九华山分局</w:t>
            </w:r>
          </w:p>
        </w:tc>
      </w:tr>
      <w:tr w14:paraId="304C3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6" w:hRule="atLeast"/>
        </w:trPr>
        <w:tc>
          <w:tcPr>
            <w:tcW w:w="705" w:type="dxa"/>
            <w:vAlign w:val="center"/>
          </w:tcPr>
          <w:p w14:paraId="6DC11C35">
            <w:pPr>
              <w:widowControl/>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6▲</w:t>
            </w:r>
          </w:p>
        </w:tc>
        <w:tc>
          <w:tcPr>
            <w:tcW w:w="2475" w:type="dxa"/>
            <w:vAlign w:val="center"/>
          </w:tcPr>
          <w:p w14:paraId="44D1AB7A">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不动产登记费</w:t>
            </w:r>
          </w:p>
        </w:tc>
        <w:tc>
          <w:tcPr>
            <w:tcW w:w="5910" w:type="dxa"/>
            <w:vAlign w:val="center"/>
          </w:tcPr>
          <w:p w14:paraId="3266C82B">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财政部、国家发展改革委财税〔2014〕77号、财税〔2016〕79号、财税〔2019〕45号、财税〔2019〕53号；财政部等六部门公告2019年第76号；国家发展改革委、财政部发改价格规〔2016〕2559号；省财政厅、省发展改革委皖财综〔2019〕866号</w:t>
            </w:r>
          </w:p>
        </w:tc>
        <w:tc>
          <w:tcPr>
            <w:tcW w:w="1965" w:type="dxa"/>
            <w:vAlign w:val="center"/>
          </w:tcPr>
          <w:p w14:paraId="52D3DE95">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不动产登记申请人</w:t>
            </w:r>
          </w:p>
        </w:tc>
        <w:tc>
          <w:tcPr>
            <w:tcW w:w="2250" w:type="dxa"/>
            <w:vAlign w:val="center"/>
          </w:tcPr>
          <w:p w14:paraId="44AB0B09">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详见收费依据文件</w:t>
            </w:r>
          </w:p>
        </w:tc>
        <w:tc>
          <w:tcPr>
            <w:tcW w:w="1470" w:type="dxa"/>
            <w:vAlign w:val="center"/>
          </w:tcPr>
          <w:p w14:paraId="0F453AAD">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池州市自然资源和规划局九华山分局</w:t>
            </w:r>
          </w:p>
        </w:tc>
      </w:tr>
      <w:tr w14:paraId="55064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4775" w:type="dxa"/>
            <w:gridSpan w:val="6"/>
            <w:vAlign w:val="center"/>
          </w:tcPr>
          <w:p w14:paraId="619499D2">
            <w:pPr>
              <w:spacing w:line="300" w:lineRule="exact"/>
              <w:jc w:val="center"/>
              <w:rPr>
                <w:rFonts w:ascii="仿宋_GB2312" w:eastAsia="楷体_GB2312" w:cs="宋体"/>
                <w:snapToGrid w:val="0"/>
                <w:kern w:val="0"/>
                <w:szCs w:val="21"/>
              </w:rPr>
            </w:pPr>
            <w:r>
              <w:rPr>
                <w:rFonts w:hint="eastAsia" w:ascii="楷体_GB2312" w:eastAsia="楷体_GB2312"/>
                <w:sz w:val="24"/>
              </w:rPr>
              <w:t>四、环境资源保护处</w:t>
            </w:r>
          </w:p>
        </w:tc>
      </w:tr>
      <w:tr w14:paraId="127BE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8" w:hRule="atLeast"/>
        </w:trPr>
        <w:tc>
          <w:tcPr>
            <w:tcW w:w="705" w:type="dxa"/>
            <w:vAlign w:val="center"/>
          </w:tcPr>
          <w:p w14:paraId="46A4F187">
            <w:pPr>
              <w:widowControl/>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7</w:t>
            </w:r>
          </w:p>
        </w:tc>
        <w:tc>
          <w:tcPr>
            <w:tcW w:w="2475" w:type="dxa"/>
            <w:vAlign w:val="center"/>
          </w:tcPr>
          <w:p w14:paraId="1B8EA423">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城镇污水处理费</w:t>
            </w:r>
          </w:p>
        </w:tc>
        <w:tc>
          <w:tcPr>
            <w:tcW w:w="5910" w:type="dxa"/>
            <w:vAlign w:val="center"/>
          </w:tcPr>
          <w:p w14:paraId="3462AE99">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国务院国发〔2000〕36号；国家计委、建设部、国家环保总局计价格〔1999〕1192号；国家计委、财政部、建设部、水利部、国家环保总局计价格〔2002〕515号；财政部、中国人民银行财预〔2009〕79号；财政部、国家发展改革委、住房城乡建设部财税〔2014〕151号；省政府令第183号；省财政厅、省物价局、省住建厅财综〔2015〕196号；市发改委（市物价局）、市财政局、市住建委池价商〔2016〕98号</w:t>
            </w:r>
          </w:p>
        </w:tc>
        <w:tc>
          <w:tcPr>
            <w:tcW w:w="1965" w:type="dxa"/>
            <w:vAlign w:val="center"/>
          </w:tcPr>
          <w:p w14:paraId="7BBA8FBA">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城市规划区范围内向城市污水集中处理设施排放污水、废水的单位和个人</w:t>
            </w:r>
          </w:p>
        </w:tc>
        <w:tc>
          <w:tcPr>
            <w:tcW w:w="2250" w:type="dxa"/>
            <w:vAlign w:val="center"/>
          </w:tcPr>
          <w:p w14:paraId="31882CDF">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非居民生活用水每立方米1.20元；特种行业用水每立方米1.20元</w:t>
            </w:r>
          </w:p>
        </w:tc>
        <w:tc>
          <w:tcPr>
            <w:tcW w:w="1470" w:type="dxa"/>
            <w:vAlign w:val="center"/>
          </w:tcPr>
          <w:p w14:paraId="0356B0BC">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环境资源保护处、九华山供排水公司（代征）</w:t>
            </w:r>
          </w:p>
        </w:tc>
      </w:tr>
    </w:tbl>
    <w:tbl>
      <w:tblPr>
        <w:tblStyle w:val="3"/>
        <w:tblW w:w="148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484"/>
        <w:gridCol w:w="68"/>
        <w:gridCol w:w="5812"/>
        <w:gridCol w:w="1985"/>
        <w:gridCol w:w="136"/>
        <w:gridCol w:w="2103"/>
        <w:gridCol w:w="29"/>
        <w:gridCol w:w="1417"/>
        <w:gridCol w:w="79"/>
      </w:tblGrid>
      <w:tr w14:paraId="025DB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8" w:type="dxa"/>
            <w:vAlign w:val="center"/>
          </w:tcPr>
          <w:p w14:paraId="36407105">
            <w:pPr>
              <w:spacing w:line="400" w:lineRule="exact"/>
              <w:jc w:val="center"/>
              <w:rPr>
                <w:rFonts w:ascii="仿宋_GB2312" w:eastAsia="仿宋_GB2312" w:cs="宋体"/>
                <w:snapToGrid w:val="0"/>
                <w:kern w:val="0"/>
                <w:szCs w:val="21"/>
              </w:rPr>
            </w:pPr>
            <w:r>
              <w:rPr>
                <w:rFonts w:hint="eastAsia" w:ascii="黑体" w:eastAsia="黑体"/>
                <w:sz w:val="24"/>
              </w:rPr>
              <w:t>序号</w:t>
            </w:r>
          </w:p>
        </w:tc>
        <w:tc>
          <w:tcPr>
            <w:tcW w:w="2484" w:type="dxa"/>
            <w:vAlign w:val="center"/>
          </w:tcPr>
          <w:p w14:paraId="2C039AC0">
            <w:pPr>
              <w:spacing w:line="400" w:lineRule="exact"/>
              <w:jc w:val="center"/>
              <w:rPr>
                <w:rFonts w:ascii="仿宋_GB2312" w:eastAsia="仿宋_GB2312" w:cs="宋体"/>
                <w:snapToGrid w:val="0"/>
                <w:kern w:val="0"/>
                <w:szCs w:val="21"/>
              </w:rPr>
            </w:pPr>
            <w:r>
              <w:rPr>
                <w:rFonts w:hint="eastAsia" w:ascii="黑体" w:eastAsia="黑体"/>
                <w:sz w:val="24"/>
              </w:rPr>
              <w:t>收费项目</w:t>
            </w:r>
          </w:p>
        </w:tc>
        <w:tc>
          <w:tcPr>
            <w:tcW w:w="5880" w:type="dxa"/>
            <w:gridSpan w:val="2"/>
            <w:vAlign w:val="center"/>
          </w:tcPr>
          <w:p w14:paraId="60F7A27F">
            <w:pPr>
              <w:spacing w:line="400" w:lineRule="exact"/>
              <w:jc w:val="center"/>
              <w:rPr>
                <w:rFonts w:ascii="仿宋_GB2312" w:eastAsia="仿宋_GB2312" w:cs="宋体"/>
                <w:snapToGrid w:val="0"/>
                <w:kern w:val="0"/>
                <w:szCs w:val="21"/>
              </w:rPr>
            </w:pPr>
            <w:r>
              <w:rPr>
                <w:rFonts w:hint="eastAsia" w:ascii="黑体" w:eastAsia="黑体"/>
                <w:sz w:val="24"/>
              </w:rPr>
              <w:t>收费依据</w:t>
            </w:r>
          </w:p>
        </w:tc>
        <w:tc>
          <w:tcPr>
            <w:tcW w:w="2121" w:type="dxa"/>
            <w:gridSpan w:val="2"/>
            <w:vAlign w:val="center"/>
          </w:tcPr>
          <w:p w14:paraId="2E54D928">
            <w:pPr>
              <w:spacing w:line="400" w:lineRule="exact"/>
              <w:jc w:val="center"/>
              <w:rPr>
                <w:rFonts w:ascii="仿宋_GB2312" w:eastAsia="仿宋_GB2312" w:cs="宋体"/>
                <w:snapToGrid w:val="0"/>
                <w:kern w:val="0"/>
                <w:szCs w:val="21"/>
              </w:rPr>
            </w:pPr>
            <w:r>
              <w:rPr>
                <w:rFonts w:hint="eastAsia" w:ascii="黑体" w:eastAsia="黑体"/>
                <w:sz w:val="24"/>
              </w:rPr>
              <w:t>收费范围和对象</w:t>
            </w:r>
          </w:p>
        </w:tc>
        <w:tc>
          <w:tcPr>
            <w:tcW w:w="2103" w:type="dxa"/>
            <w:vAlign w:val="center"/>
          </w:tcPr>
          <w:p w14:paraId="5672F4A6">
            <w:pPr>
              <w:spacing w:line="400" w:lineRule="exact"/>
              <w:jc w:val="center"/>
              <w:rPr>
                <w:rFonts w:ascii="仿宋_GB2312" w:eastAsia="仿宋_GB2312" w:cs="宋体"/>
                <w:snapToGrid w:val="0"/>
                <w:kern w:val="0"/>
                <w:szCs w:val="21"/>
              </w:rPr>
            </w:pPr>
            <w:r>
              <w:rPr>
                <w:rFonts w:hint="eastAsia" w:ascii="黑体" w:eastAsia="黑体"/>
                <w:sz w:val="24"/>
              </w:rPr>
              <w:t>收费标准</w:t>
            </w:r>
          </w:p>
        </w:tc>
        <w:tc>
          <w:tcPr>
            <w:tcW w:w="1525" w:type="dxa"/>
            <w:gridSpan w:val="3"/>
            <w:vAlign w:val="center"/>
          </w:tcPr>
          <w:p w14:paraId="2F80D545">
            <w:pPr>
              <w:spacing w:line="400" w:lineRule="exact"/>
              <w:jc w:val="center"/>
              <w:rPr>
                <w:rFonts w:ascii="仿宋_GB2312" w:eastAsia="仿宋_GB2312" w:cs="宋体"/>
                <w:snapToGrid w:val="0"/>
                <w:kern w:val="0"/>
                <w:szCs w:val="21"/>
              </w:rPr>
            </w:pPr>
            <w:r>
              <w:rPr>
                <w:rFonts w:hint="eastAsia" w:ascii="黑体" w:eastAsia="黑体"/>
                <w:sz w:val="24"/>
              </w:rPr>
              <w:t>执收单位</w:t>
            </w:r>
          </w:p>
        </w:tc>
      </w:tr>
      <w:tr w14:paraId="313ED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8" w:hRule="atLeast"/>
        </w:trPr>
        <w:tc>
          <w:tcPr>
            <w:tcW w:w="708" w:type="dxa"/>
            <w:vAlign w:val="center"/>
          </w:tcPr>
          <w:p w14:paraId="6CA42402">
            <w:pPr>
              <w:widowControl/>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8</w:t>
            </w:r>
          </w:p>
        </w:tc>
        <w:tc>
          <w:tcPr>
            <w:tcW w:w="2484" w:type="dxa"/>
            <w:vAlign w:val="center"/>
          </w:tcPr>
          <w:p w14:paraId="4F86F348">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城市道路占用、挖掘修复费</w:t>
            </w:r>
          </w:p>
        </w:tc>
        <w:tc>
          <w:tcPr>
            <w:tcW w:w="5880" w:type="dxa"/>
            <w:gridSpan w:val="2"/>
            <w:vAlign w:val="center"/>
          </w:tcPr>
          <w:p w14:paraId="18C68CBE">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建设部、财政部、国家物价局建城〔1993〕410号；财政部、国家发展改革委财税〔2015〕68号；省建设厅、省财政厅、省物价局建城字〔1996〕565号；省建设厅、省物价局建城字〔1996〕640号；省建设厅建城〔2002〕232号；省物价局、省财政厅皖价费〔2002〕186号；省物价局、省财政厅皖价费〔2006〕240号；省财政厅、省发展改革委皖财综〔2020〕1241号</w:t>
            </w:r>
          </w:p>
        </w:tc>
        <w:tc>
          <w:tcPr>
            <w:tcW w:w="2121" w:type="dxa"/>
            <w:gridSpan w:val="2"/>
            <w:vAlign w:val="center"/>
          </w:tcPr>
          <w:p w14:paraId="7551ED89">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经批准占用挖掘城市道路的单位和个人（经批准占道经营的免征城市道路占用费）</w:t>
            </w:r>
          </w:p>
        </w:tc>
        <w:tc>
          <w:tcPr>
            <w:tcW w:w="2103" w:type="dxa"/>
            <w:vAlign w:val="center"/>
          </w:tcPr>
          <w:p w14:paraId="27465A0B">
            <w:pPr>
              <w:widowControl/>
              <w:snapToGrid w:val="0"/>
              <w:spacing w:line="300" w:lineRule="exact"/>
              <w:rPr>
                <w:rFonts w:ascii="仿宋_GB2312" w:eastAsia="仿宋_GB2312" w:cs="宋体"/>
                <w:snapToGrid w:val="0"/>
                <w:kern w:val="0"/>
                <w:szCs w:val="21"/>
              </w:rPr>
            </w:pPr>
          </w:p>
          <w:p w14:paraId="051D15DD">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详见收费依据文件</w:t>
            </w:r>
          </w:p>
        </w:tc>
        <w:tc>
          <w:tcPr>
            <w:tcW w:w="1525" w:type="dxa"/>
            <w:gridSpan w:val="3"/>
            <w:vAlign w:val="center"/>
          </w:tcPr>
          <w:p w14:paraId="65429430">
            <w:pPr>
              <w:widowControl/>
              <w:snapToGrid w:val="0"/>
              <w:spacing w:line="300" w:lineRule="exact"/>
              <w:rPr>
                <w:rFonts w:ascii="仿宋_GB2312" w:eastAsia="仿宋_GB2312" w:cs="宋体"/>
                <w:snapToGrid w:val="0"/>
                <w:kern w:val="0"/>
                <w:szCs w:val="21"/>
              </w:rPr>
            </w:pPr>
          </w:p>
          <w:p w14:paraId="08EE20DF">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环境资源保护处</w:t>
            </w:r>
          </w:p>
        </w:tc>
      </w:tr>
      <w:tr w14:paraId="0667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9" w:type="dxa"/>
          <w:trHeight w:val="454" w:hRule="atLeast"/>
        </w:trPr>
        <w:tc>
          <w:tcPr>
            <w:tcW w:w="708" w:type="dxa"/>
            <w:vAlign w:val="center"/>
          </w:tcPr>
          <w:p w14:paraId="0991FC16">
            <w:pPr>
              <w:widowControl/>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9</w:t>
            </w:r>
          </w:p>
        </w:tc>
        <w:tc>
          <w:tcPr>
            <w:tcW w:w="2552" w:type="dxa"/>
            <w:gridSpan w:val="2"/>
            <w:vAlign w:val="center"/>
          </w:tcPr>
          <w:p w14:paraId="1DA8709B">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防空地下室易地建设费</w:t>
            </w:r>
          </w:p>
        </w:tc>
        <w:tc>
          <w:tcPr>
            <w:tcW w:w="5812" w:type="dxa"/>
            <w:vAlign w:val="center"/>
          </w:tcPr>
          <w:p w14:paraId="5B1AB33B">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国家计委、财政部、国家国防动员委员会、建设部计价格〔2000〕474号；财政部、国家发展改革委财税〔2019〕53号；财政部财税〔2020〕58号；国家税务总局公告2020年第21号；省物价局、省财政厅、省人民防空办公室皖价费〔2014〕138号；省政府皖政〔2016〕54号、皖政〔2016〕56号；省财政厅、省发展改革委皖财综〔2019〕866号；省发展改革委、省财政厅皖发改价费函〔2021〕167号；国家税务总局安徽省税务局公告2020年第8号</w:t>
            </w:r>
          </w:p>
        </w:tc>
        <w:tc>
          <w:tcPr>
            <w:tcW w:w="1985" w:type="dxa"/>
            <w:vAlign w:val="center"/>
          </w:tcPr>
          <w:p w14:paraId="28C73D41">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经批准确因地质和地下条件不宜修建的民用建筑建设单位和个人</w:t>
            </w:r>
          </w:p>
        </w:tc>
        <w:tc>
          <w:tcPr>
            <w:tcW w:w="2268" w:type="dxa"/>
            <w:gridSpan w:val="3"/>
            <w:vAlign w:val="center"/>
          </w:tcPr>
          <w:p w14:paraId="54855AD1">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6级（含）以上每平方米1700元</w:t>
            </w:r>
          </w:p>
          <w:p w14:paraId="7425D01C">
            <w:pPr>
              <w:widowControl/>
              <w:snapToGrid w:val="0"/>
              <w:spacing w:line="300" w:lineRule="exact"/>
              <w:rPr>
                <w:rFonts w:ascii="仿宋_GB2312" w:eastAsia="仿宋_GB2312" w:cs="宋体"/>
                <w:snapToGrid w:val="0"/>
                <w:kern w:val="0"/>
                <w:szCs w:val="21"/>
              </w:rPr>
            </w:pPr>
          </w:p>
        </w:tc>
        <w:tc>
          <w:tcPr>
            <w:tcW w:w="1417" w:type="dxa"/>
            <w:vAlign w:val="center"/>
          </w:tcPr>
          <w:p w14:paraId="48BA116A">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环境资源保护处</w:t>
            </w:r>
          </w:p>
        </w:tc>
      </w:tr>
      <w:tr w14:paraId="74C41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4821" w:type="dxa"/>
            <w:gridSpan w:val="10"/>
            <w:vAlign w:val="center"/>
          </w:tcPr>
          <w:p w14:paraId="32DB04A4">
            <w:pPr>
              <w:widowControl/>
              <w:snapToGrid w:val="0"/>
              <w:spacing w:line="300" w:lineRule="exact"/>
              <w:jc w:val="center"/>
              <w:rPr>
                <w:rFonts w:ascii="仿宋_GB2312" w:eastAsia="楷体_GB2312" w:cs="宋体"/>
                <w:snapToGrid w:val="0"/>
                <w:kern w:val="0"/>
                <w:szCs w:val="21"/>
              </w:rPr>
            </w:pPr>
            <w:r>
              <w:rPr>
                <w:rFonts w:hint="eastAsia" w:ascii="楷体_GB2312" w:eastAsia="楷体_GB2312"/>
                <w:sz w:val="24"/>
              </w:rPr>
              <w:t>五、农村水利局</w:t>
            </w:r>
          </w:p>
        </w:tc>
      </w:tr>
      <w:tr w14:paraId="40196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708" w:type="dxa"/>
            <w:vAlign w:val="center"/>
          </w:tcPr>
          <w:p w14:paraId="2BA5BCA5">
            <w:pPr>
              <w:widowControl/>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10</w:t>
            </w:r>
          </w:p>
        </w:tc>
        <w:tc>
          <w:tcPr>
            <w:tcW w:w="2484" w:type="dxa"/>
            <w:vAlign w:val="center"/>
          </w:tcPr>
          <w:p w14:paraId="3D3B92B6">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水资源费</w:t>
            </w:r>
          </w:p>
        </w:tc>
        <w:tc>
          <w:tcPr>
            <w:tcW w:w="5880" w:type="dxa"/>
            <w:gridSpan w:val="2"/>
            <w:vAlign w:val="center"/>
          </w:tcPr>
          <w:p w14:paraId="3B10C84E">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财政部、国家发展改革委、水利部财综〔2008〕79号；省物价局、省财政厅、省水利厅皖价商〔2014〕1号；皖价商〔2015〕66号；省发展改革委、省财政厅、省水利厅皖发改价费〔2019〕622号</w:t>
            </w:r>
          </w:p>
        </w:tc>
        <w:tc>
          <w:tcPr>
            <w:tcW w:w="2121" w:type="dxa"/>
            <w:gridSpan w:val="2"/>
            <w:vAlign w:val="center"/>
          </w:tcPr>
          <w:p w14:paraId="232472A8">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直接从江河、湖泊或者地下取用水资源的单位（包括中央直属水电厂和火电厂）和个人</w:t>
            </w:r>
          </w:p>
        </w:tc>
        <w:tc>
          <w:tcPr>
            <w:tcW w:w="2103" w:type="dxa"/>
            <w:vAlign w:val="center"/>
          </w:tcPr>
          <w:p w14:paraId="7531E5F1">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详见收费依据文件</w:t>
            </w:r>
          </w:p>
        </w:tc>
        <w:tc>
          <w:tcPr>
            <w:tcW w:w="1525" w:type="dxa"/>
            <w:gridSpan w:val="3"/>
            <w:vAlign w:val="center"/>
          </w:tcPr>
          <w:p w14:paraId="33D38CDF">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农村水利局</w:t>
            </w:r>
          </w:p>
        </w:tc>
      </w:tr>
      <w:tr w14:paraId="22B86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8" w:type="dxa"/>
            <w:vAlign w:val="center"/>
          </w:tcPr>
          <w:p w14:paraId="3E629AFC">
            <w:pPr>
              <w:widowControl/>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11</w:t>
            </w:r>
          </w:p>
        </w:tc>
        <w:tc>
          <w:tcPr>
            <w:tcW w:w="2484" w:type="dxa"/>
            <w:vAlign w:val="center"/>
          </w:tcPr>
          <w:p w14:paraId="66B2A099">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水土保持补偿费</w:t>
            </w:r>
          </w:p>
        </w:tc>
        <w:tc>
          <w:tcPr>
            <w:tcW w:w="5880" w:type="dxa"/>
            <w:gridSpan w:val="2"/>
            <w:vAlign w:val="center"/>
          </w:tcPr>
          <w:p w14:paraId="0695B94D">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财政部、国家发展改革委、水利部、中国人民银行财综〔2014〕8号；国家发展改革委、财政部、水利部发改价格〔2014〕886号；国家税务总局公告2020年第21号；省财政厅、省物价局、省水利厅、人行合肥中心支行财综〔2014〕328号；省物价局、省财政厅、省水利厅皖价费〔2014〕160号、皖价费〔2017〕5号；省物价局、财政厅皖价费〔2017〕77号；财政部财税〔2020〕58号；国家税务总局安徽省税务局公告2020年第8号；国家税务总局安徽省税务局、省水利厅皖税函〔2020〕258号；省发展改革委、省财政厅、省</w:t>
            </w:r>
            <w:r>
              <w:rPr>
                <w:rFonts w:hint="eastAsia" w:ascii="仿宋_GB2312" w:eastAsia="仿宋_GB2312" w:cs="宋体"/>
                <w:snapToGrid w:val="0"/>
                <w:kern w:val="0"/>
                <w:szCs w:val="21"/>
                <w:lang w:eastAsia="zh-CN"/>
              </w:rPr>
              <w:t>水利厅</w:t>
            </w:r>
            <w:r>
              <w:rPr>
                <w:rFonts w:hint="eastAsia" w:ascii="仿宋_GB2312" w:hAnsi="Times New Roman" w:eastAsia="仿宋_GB2312" w:cs="宋体"/>
                <w:snapToGrid w:val="0"/>
                <w:kern w:val="0"/>
                <w:szCs w:val="21"/>
                <w:lang w:eastAsia="zh-CN"/>
              </w:rPr>
              <w:t>皖发改价费函</w:t>
            </w:r>
            <w:r>
              <w:rPr>
                <w:rFonts w:hint="eastAsia" w:ascii="仿宋_GB2312" w:hAnsi="Times New Roman" w:eastAsia="仿宋_GB2312" w:cs="宋体"/>
                <w:snapToGrid w:val="0"/>
                <w:kern w:val="0"/>
                <w:szCs w:val="21"/>
                <w:lang w:val="en-US" w:eastAsia="zh-CN"/>
              </w:rPr>
              <w:t>〔2023〕</w:t>
            </w:r>
            <w:r>
              <w:rPr>
                <w:rFonts w:hint="eastAsia" w:ascii="仿宋_GB2312" w:hAnsi="Times New Roman" w:eastAsia="仿宋_GB2312" w:cs="宋体"/>
                <w:snapToGrid w:val="0"/>
                <w:kern w:val="0"/>
                <w:szCs w:val="21"/>
                <w:lang w:eastAsia="zh-CN"/>
              </w:rPr>
              <w:t>276号</w:t>
            </w:r>
            <w:r>
              <w:rPr>
                <w:rFonts w:hint="eastAsia" w:ascii="仿宋_GB2312" w:hAnsi="Times New Roman" w:eastAsia="仿宋_GB2312" w:cs="宋体"/>
                <w:snapToGrid w:val="0"/>
                <w:kern w:val="0"/>
                <w:szCs w:val="21"/>
              </w:rPr>
              <w:t>；省水利厅皖水保函〔2</w:t>
            </w:r>
            <w:r>
              <w:rPr>
                <w:rFonts w:hint="eastAsia" w:ascii="仿宋_GB2312" w:eastAsia="仿宋_GB2312" w:cs="宋体"/>
                <w:snapToGrid w:val="0"/>
                <w:kern w:val="0"/>
                <w:szCs w:val="21"/>
              </w:rPr>
              <w:t>022〕189号</w:t>
            </w:r>
          </w:p>
        </w:tc>
        <w:tc>
          <w:tcPr>
            <w:tcW w:w="2121" w:type="dxa"/>
            <w:gridSpan w:val="2"/>
            <w:vAlign w:val="center"/>
          </w:tcPr>
          <w:p w14:paraId="05B6BE39">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在山区、丘陵区、风沙区以及水土保持规划确定的容易发生水土流失的其他区域开办生产建设项目或者从事其他生产建设活动，损坏水土保持设施、地貌植被，不能恢复原有水土保持功能的单位和个人</w:t>
            </w:r>
          </w:p>
        </w:tc>
        <w:tc>
          <w:tcPr>
            <w:tcW w:w="2103" w:type="dxa"/>
            <w:vAlign w:val="center"/>
          </w:tcPr>
          <w:p w14:paraId="6A0D1DD9">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详见收费依据文件</w:t>
            </w:r>
          </w:p>
        </w:tc>
        <w:tc>
          <w:tcPr>
            <w:tcW w:w="1525" w:type="dxa"/>
            <w:gridSpan w:val="3"/>
            <w:vAlign w:val="center"/>
          </w:tcPr>
          <w:p w14:paraId="4AED27B0">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税务局</w:t>
            </w:r>
          </w:p>
        </w:tc>
      </w:tr>
      <w:tr w14:paraId="37282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4821" w:type="dxa"/>
            <w:gridSpan w:val="10"/>
            <w:vAlign w:val="center"/>
          </w:tcPr>
          <w:p w14:paraId="0CBE18C4">
            <w:pPr>
              <w:widowControl/>
              <w:snapToGrid w:val="0"/>
              <w:spacing w:line="300" w:lineRule="exact"/>
              <w:jc w:val="center"/>
              <w:rPr>
                <w:rFonts w:ascii="仿宋_GB2312" w:eastAsia="仿宋_GB2312" w:cs="宋体"/>
                <w:snapToGrid w:val="0"/>
                <w:kern w:val="0"/>
                <w:sz w:val="24"/>
              </w:rPr>
            </w:pPr>
            <w:r>
              <w:rPr>
                <w:rFonts w:hint="eastAsia" w:ascii="楷体_GB2312" w:eastAsia="楷体_GB2312"/>
                <w:sz w:val="24"/>
              </w:rPr>
              <w:t>六、行政执法局</w:t>
            </w:r>
          </w:p>
        </w:tc>
      </w:tr>
      <w:tr w14:paraId="1606D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8" w:type="dxa"/>
            <w:vAlign w:val="center"/>
          </w:tcPr>
          <w:p w14:paraId="777626B7">
            <w:pPr>
              <w:widowControl/>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12</w:t>
            </w:r>
          </w:p>
        </w:tc>
        <w:tc>
          <w:tcPr>
            <w:tcW w:w="2484" w:type="dxa"/>
            <w:vAlign w:val="center"/>
          </w:tcPr>
          <w:p w14:paraId="5FC710FF">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城镇垃圾处理费</w:t>
            </w:r>
          </w:p>
        </w:tc>
        <w:tc>
          <w:tcPr>
            <w:tcW w:w="5880" w:type="dxa"/>
            <w:gridSpan w:val="2"/>
            <w:vAlign w:val="center"/>
          </w:tcPr>
          <w:p w14:paraId="667C1E47">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中华人民共和国固体废物污染防治法》；《城市生活垃圾管理办法》（建设部令第157号）；国家税务总局、财政部、自然资源部、住房和城乡建设部、中国人民银行公告2021年第12号；财政部财税〔2021〕8号；省物价局、省建设厅皖价服〔2007〕207号；市物价局、市住建委池价费〔2016〕55号；</w:t>
            </w:r>
            <w:r>
              <w:rPr>
                <w:rFonts w:hint="eastAsia" w:ascii="仿宋_GB2312" w:hAnsi="Calibri" w:eastAsia="仿宋_GB2312" w:cs="宋体"/>
                <w:snapToGrid w:val="0"/>
                <w:kern w:val="0"/>
                <w:szCs w:val="21"/>
              </w:rPr>
              <w:t>池发改价格函〔2022〕24号</w:t>
            </w:r>
          </w:p>
        </w:tc>
        <w:tc>
          <w:tcPr>
            <w:tcW w:w="2121" w:type="dxa"/>
            <w:gridSpan w:val="2"/>
            <w:vAlign w:val="center"/>
          </w:tcPr>
          <w:p w14:paraId="687B2CEA">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产生城市生活垃圾的单位</w:t>
            </w:r>
          </w:p>
        </w:tc>
        <w:tc>
          <w:tcPr>
            <w:tcW w:w="2103" w:type="dxa"/>
            <w:vAlign w:val="center"/>
          </w:tcPr>
          <w:p w14:paraId="586D48A2">
            <w:pPr>
              <w:widowControl/>
              <w:snapToGrid w:val="0"/>
              <w:spacing w:line="300" w:lineRule="exact"/>
              <w:rPr>
                <w:rFonts w:ascii="仿宋_GB2312" w:eastAsia="仿宋_GB2312" w:cs="宋体"/>
                <w:snapToGrid w:val="0"/>
                <w:kern w:val="0"/>
                <w:szCs w:val="21"/>
              </w:rPr>
            </w:pPr>
          </w:p>
        </w:tc>
        <w:tc>
          <w:tcPr>
            <w:tcW w:w="1525" w:type="dxa"/>
            <w:gridSpan w:val="3"/>
            <w:vAlign w:val="center"/>
          </w:tcPr>
          <w:p w14:paraId="7401F97B">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税务局</w:t>
            </w:r>
          </w:p>
        </w:tc>
      </w:tr>
    </w:tbl>
    <w:tbl>
      <w:tblPr>
        <w:tblStyle w:val="3"/>
        <w:tblpPr w:leftFromText="180" w:rightFromText="180" w:vertAnchor="text" w:horzAnchor="page" w:tblpX="1637" w:tblpY="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9"/>
        <w:gridCol w:w="6826"/>
      </w:tblGrid>
      <w:tr w14:paraId="5D02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169" w:type="dxa"/>
            <w:tcMar>
              <w:left w:w="57" w:type="dxa"/>
              <w:right w:w="57" w:type="dxa"/>
            </w:tcMar>
            <w:vAlign w:val="center"/>
          </w:tcPr>
          <w:p w14:paraId="472B3BA6">
            <w:pPr>
              <w:widowControl/>
              <w:snapToGrid w:val="0"/>
              <w:spacing w:line="300" w:lineRule="exact"/>
              <w:rPr>
                <w:rFonts w:eastAsia="黑体"/>
                <w:snapToGrid w:val="0"/>
                <w:kern w:val="0"/>
                <w:szCs w:val="21"/>
              </w:rPr>
            </w:pPr>
            <w:r>
              <w:rPr>
                <w:rFonts w:hAnsi="黑体" w:eastAsia="黑体"/>
                <w:snapToGrid w:val="0"/>
                <w:kern w:val="0"/>
                <w:szCs w:val="21"/>
              </w:rPr>
              <w:t>注：</w:t>
            </w:r>
            <w:r>
              <w:rPr>
                <w:rFonts w:eastAsia="黑体"/>
                <w:snapToGrid w:val="0"/>
                <w:kern w:val="0"/>
                <w:szCs w:val="21"/>
              </w:rPr>
              <w:t>1.</w:t>
            </w:r>
            <w:r>
              <w:rPr>
                <w:rFonts w:hAnsi="黑体" w:eastAsia="黑体"/>
                <w:bCs/>
                <w:snapToGrid w:val="0"/>
                <w:kern w:val="0"/>
                <w:szCs w:val="21"/>
              </w:rPr>
              <w:t>责任事项</w:t>
            </w:r>
          </w:p>
        </w:tc>
        <w:tc>
          <w:tcPr>
            <w:tcW w:w="6826" w:type="dxa"/>
            <w:tcMar>
              <w:left w:w="57" w:type="dxa"/>
              <w:right w:w="57" w:type="dxa"/>
            </w:tcMar>
            <w:vAlign w:val="center"/>
          </w:tcPr>
          <w:p w14:paraId="2F476DAD">
            <w:pPr>
              <w:widowControl/>
              <w:snapToGrid w:val="0"/>
              <w:spacing w:line="300" w:lineRule="exact"/>
              <w:ind w:firstLine="420" w:firstLineChars="200"/>
              <w:rPr>
                <w:rFonts w:eastAsia="黑体"/>
                <w:snapToGrid w:val="0"/>
                <w:kern w:val="0"/>
                <w:szCs w:val="21"/>
              </w:rPr>
            </w:pPr>
            <w:r>
              <w:rPr>
                <w:rFonts w:eastAsia="黑体"/>
                <w:bCs/>
                <w:snapToGrid w:val="0"/>
                <w:kern w:val="0"/>
                <w:szCs w:val="21"/>
              </w:rPr>
              <w:t>2.</w:t>
            </w:r>
            <w:r>
              <w:rPr>
                <w:rFonts w:hAnsi="黑体" w:eastAsia="黑体"/>
                <w:bCs/>
                <w:snapToGrid w:val="0"/>
                <w:kern w:val="0"/>
                <w:szCs w:val="21"/>
              </w:rPr>
              <w:t>追责情形</w:t>
            </w:r>
          </w:p>
        </w:tc>
      </w:tr>
      <w:tr w14:paraId="075DA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169" w:type="dxa"/>
            <w:tcMar>
              <w:left w:w="57" w:type="dxa"/>
              <w:right w:w="57" w:type="dxa"/>
            </w:tcMar>
            <w:vAlign w:val="center"/>
          </w:tcPr>
          <w:p w14:paraId="21D31948">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一、执收单位责任：</w:t>
            </w:r>
          </w:p>
          <w:p w14:paraId="0F4E47B8">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1．执行规定的收费项目、收费标准、收费范围；</w:t>
            </w:r>
          </w:p>
          <w:p w14:paraId="354E9C3D">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2．执行收费公示制度；</w:t>
            </w:r>
          </w:p>
          <w:p w14:paraId="4C493789">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3．按规定使用非税票据，收费收入缴入国库或财政专户；</w:t>
            </w:r>
          </w:p>
          <w:p w14:paraId="0B2B6E3A">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4．执行收费统计报告制度，按要求报告年度收费情况；</w:t>
            </w:r>
          </w:p>
          <w:p w14:paraId="70F67268">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5．其他依法应当承担的责任事项。</w:t>
            </w:r>
          </w:p>
          <w:p w14:paraId="260FDE9A">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二、主管部门责任：</w:t>
            </w:r>
          </w:p>
          <w:p w14:paraId="6B0DFE9E">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1．贯彻国家和省政府收费政策；</w:t>
            </w:r>
          </w:p>
          <w:p w14:paraId="02E6E800">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2．督促指导执收单位按清单收费；</w:t>
            </w:r>
          </w:p>
          <w:p w14:paraId="2310DF8B">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3．纠正违规收费行为，并追究相关人员责任；</w:t>
            </w:r>
          </w:p>
          <w:p w14:paraId="36AEB464">
            <w:pPr>
              <w:widowControl/>
              <w:snapToGrid w:val="0"/>
              <w:spacing w:line="300" w:lineRule="exact"/>
              <w:ind w:firstLine="420" w:firstLineChars="200"/>
              <w:rPr>
                <w:rFonts w:eastAsia="黑体"/>
                <w:bCs/>
                <w:snapToGrid w:val="0"/>
                <w:kern w:val="0"/>
                <w:szCs w:val="21"/>
              </w:rPr>
            </w:pPr>
            <w:r>
              <w:rPr>
                <w:rFonts w:hint="eastAsia" w:ascii="黑体" w:hAnsi="黑体" w:eastAsia="黑体" w:cs="黑体"/>
                <w:snapToGrid w:val="0"/>
                <w:kern w:val="0"/>
                <w:szCs w:val="21"/>
              </w:rPr>
              <w:t>4．其他依法应承担的责任事项。</w:t>
            </w:r>
          </w:p>
        </w:tc>
        <w:tc>
          <w:tcPr>
            <w:tcW w:w="6826" w:type="dxa"/>
            <w:tcMar>
              <w:left w:w="57" w:type="dxa"/>
              <w:right w:w="57" w:type="dxa"/>
            </w:tcMar>
            <w:vAlign w:val="center"/>
          </w:tcPr>
          <w:p w14:paraId="3BC210D8">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一、执收单位违反收费政策规定，有下列情形之一的，由价格、财政等部门按照职责追究责任：</w:t>
            </w:r>
          </w:p>
          <w:p w14:paraId="68F61893">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1．擅自设立收费项目、制定或者调整收费标准的；</w:t>
            </w:r>
          </w:p>
          <w:p w14:paraId="7FBAA500">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2．不实施管理行为或者不提供服务收费的；</w:t>
            </w:r>
          </w:p>
          <w:p w14:paraId="653D2F6C">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3．未按规定向社会公示收费项目、收费标准等收费的；</w:t>
            </w:r>
          </w:p>
          <w:p w14:paraId="3F74E77B">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4不使用统一规定的票据或者无票据收费的；</w:t>
            </w:r>
          </w:p>
          <w:p w14:paraId="74286329">
            <w:pPr>
              <w:widowControl/>
              <w:snapToGrid w:val="0"/>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5．其他违反收费法律法规规定的。</w:t>
            </w:r>
          </w:p>
          <w:p w14:paraId="3C6A559F">
            <w:pPr>
              <w:widowControl/>
              <w:snapToGrid w:val="0"/>
              <w:spacing w:line="300" w:lineRule="exact"/>
              <w:ind w:firstLine="420" w:firstLineChars="200"/>
              <w:rPr>
                <w:rFonts w:eastAsia="黑体"/>
                <w:snapToGrid w:val="0"/>
                <w:kern w:val="0"/>
                <w:szCs w:val="21"/>
              </w:rPr>
            </w:pPr>
            <w:r>
              <w:rPr>
                <w:rFonts w:hint="eastAsia" w:ascii="黑体" w:hAnsi="黑体" w:eastAsia="黑体" w:cs="黑体"/>
                <w:snapToGrid w:val="0"/>
                <w:kern w:val="0"/>
                <w:szCs w:val="21"/>
              </w:rPr>
              <w:t>二、主管部门及其有关工作人员不履行或不正确履行职责的，由监察、审计等部门依法追究责任。</w:t>
            </w:r>
          </w:p>
        </w:tc>
      </w:tr>
      <w:tr w14:paraId="1CD75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995" w:type="dxa"/>
            <w:gridSpan w:val="2"/>
            <w:tcMar>
              <w:left w:w="57" w:type="dxa"/>
              <w:right w:w="57" w:type="dxa"/>
            </w:tcMar>
            <w:vAlign w:val="center"/>
          </w:tcPr>
          <w:p w14:paraId="25B72616">
            <w:pPr>
              <w:widowControl/>
              <w:snapToGrid w:val="0"/>
              <w:spacing w:line="30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3、以上收费为经国家省批准设立的、由我山相关单位执收的涉企行政事业性收费。</w:t>
            </w:r>
          </w:p>
          <w:p w14:paraId="4DDB3277">
            <w:pPr>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4、中央和省级单位执收的涉企行政事业性收费按《安徽省省级涉企收费清单》执行。</w:t>
            </w:r>
          </w:p>
          <w:p w14:paraId="65DAF45C">
            <w:pPr>
              <w:spacing w:line="280" w:lineRule="exact"/>
              <w:ind w:firstLine="420" w:firstLineChars="200"/>
              <w:rPr>
                <w:rFonts w:eastAsia="黑体"/>
                <w:snapToGrid w:val="0"/>
                <w:kern w:val="0"/>
                <w:szCs w:val="21"/>
              </w:rPr>
            </w:pPr>
            <w:r>
              <w:rPr>
                <w:rFonts w:hint="eastAsia" w:ascii="黑体" w:hAnsi="黑体" w:eastAsia="黑体" w:cs="黑体"/>
                <w:snapToGrid w:val="0"/>
                <w:kern w:val="0"/>
                <w:szCs w:val="21"/>
              </w:rPr>
              <w:t>5、标注“▲”号的收费项目，对小型微型企业免予征收。</w:t>
            </w:r>
          </w:p>
        </w:tc>
      </w:tr>
    </w:tbl>
    <w:p w14:paraId="0B68FE5E">
      <w:pPr>
        <w:jc w:val="center"/>
        <w:outlineLvl w:val="0"/>
        <w:rPr>
          <w:rFonts w:ascii="黑体" w:eastAsia="黑体"/>
          <w:sz w:val="30"/>
          <w:szCs w:val="30"/>
        </w:rPr>
      </w:pPr>
      <w:r>
        <w:rPr>
          <w:rFonts w:hint="eastAsia" w:ascii="黑体" w:eastAsia="黑体"/>
          <w:sz w:val="30"/>
          <w:szCs w:val="30"/>
        </w:rPr>
        <w:t>二、政府性基金</w:t>
      </w:r>
    </w:p>
    <w:tbl>
      <w:tblPr>
        <w:tblStyle w:val="3"/>
        <w:tblpPr w:leftFromText="180" w:rightFromText="180" w:vertAnchor="text" w:horzAnchor="page" w:tblpX="1117" w:tblpY="57"/>
        <w:tblOverlap w:val="never"/>
        <w:tblW w:w="14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599"/>
        <w:gridCol w:w="6321"/>
        <w:gridCol w:w="2340"/>
        <w:gridCol w:w="2250"/>
        <w:gridCol w:w="1470"/>
      </w:tblGrid>
      <w:tr w14:paraId="36491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0" w:type="dxa"/>
            <w:vAlign w:val="center"/>
          </w:tcPr>
          <w:p w14:paraId="7D012327">
            <w:pPr>
              <w:spacing w:line="400" w:lineRule="exact"/>
              <w:jc w:val="center"/>
              <w:rPr>
                <w:rFonts w:ascii="黑体" w:eastAsia="黑体"/>
                <w:sz w:val="24"/>
              </w:rPr>
            </w:pPr>
            <w:r>
              <w:rPr>
                <w:rFonts w:hint="eastAsia" w:ascii="黑体" w:eastAsia="黑体"/>
                <w:sz w:val="24"/>
              </w:rPr>
              <w:t>序号</w:t>
            </w:r>
          </w:p>
        </w:tc>
        <w:tc>
          <w:tcPr>
            <w:tcW w:w="1599" w:type="dxa"/>
            <w:vAlign w:val="center"/>
          </w:tcPr>
          <w:p w14:paraId="49B4B708">
            <w:pPr>
              <w:spacing w:line="400" w:lineRule="exact"/>
              <w:jc w:val="center"/>
              <w:rPr>
                <w:rFonts w:ascii="黑体" w:eastAsia="黑体"/>
                <w:sz w:val="24"/>
              </w:rPr>
            </w:pPr>
            <w:r>
              <w:rPr>
                <w:rFonts w:hint="eastAsia" w:ascii="黑体" w:eastAsia="黑体"/>
                <w:sz w:val="24"/>
              </w:rPr>
              <w:t>收费项目</w:t>
            </w:r>
          </w:p>
        </w:tc>
        <w:tc>
          <w:tcPr>
            <w:tcW w:w="6321" w:type="dxa"/>
            <w:vAlign w:val="center"/>
          </w:tcPr>
          <w:p w14:paraId="3F74C1CC">
            <w:pPr>
              <w:spacing w:line="400" w:lineRule="exact"/>
              <w:jc w:val="center"/>
              <w:rPr>
                <w:rFonts w:ascii="黑体" w:eastAsia="黑体"/>
                <w:sz w:val="24"/>
              </w:rPr>
            </w:pPr>
            <w:r>
              <w:rPr>
                <w:rFonts w:hint="eastAsia" w:ascii="黑体" w:eastAsia="黑体"/>
                <w:sz w:val="24"/>
              </w:rPr>
              <w:t>收费依据</w:t>
            </w:r>
          </w:p>
        </w:tc>
        <w:tc>
          <w:tcPr>
            <w:tcW w:w="2340" w:type="dxa"/>
            <w:vAlign w:val="center"/>
          </w:tcPr>
          <w:p w14:paraId="5EAEC1BE">
            <w:pPr>
              <w:spacing w:line="400" w:lineRule="exact"/>
              <w:jc w:val="center"/>
              <w:rPr>
                <w:rFonts w:ascii="黑体" w:eastAsia="黑体"/>
                <w:sz w:val="24"/>
              </w:rPr>
            </w:pPr>
            <w:r>
              <w:rPr>
                <w:rFonts w:hint="eastAsia" w:ascii="黑体" w:eastAsia="黑体"/>
                <w:sz w:val="24"/>
              </w:rPr>
              <w:t>收费范围和对象</w:t>
            </w:r>
          </w:p>
        </w:tc>
        <w:tc>
          <w:tcPr>
            <w:tcW w:w="2250" w:type="dxa"/>
            <w:vAlign w:val="center"/>
          </w:tcPr>
          <w:p w14:paraId="29B7CC90">
            <w:pPr>
              <w:spacing w:line="400" w:lineRule="exact"/>
              <w:jc w:val="center"/>
              <w:rPr>
                <w:rFonts w:ascii="黑体" w:eastAsia="黑体"/>
                <w:sz w:val="24"/>
              </w:rPr>
            </w:pPr>
            <w:r>
              <w:rPr>
                <w:rFonts w:hint="eastAsia" w:ascii="黑体" w:eastAsia="黑体"/>
                <w:sz w:val="24"/>
              </w:rPr>
              <w:t>收费标准</w:t>
            </w:r>
          </w:p>
        </w:tc>
        <w:tc>
          <w:tcPr>
            <w:tcW w:w="1470" w:type="dxa"/>
            <w:vAlign w:val="center"/>
          </w:tcPr>
          <w:p w14:paraId="14D7C45D">
            <w:pPr>
              <w:spacing w:line="400" w:lineRule="exact"/>
              <w:jc w:val="center"/>
              <w:rPr>
                <w:rFonts w:ascii="黑体" w:eastAsia="黑体"/>
                <w:sz w:val="24"/>
              </w:rPr>
            </w:pPr>
            <w:r>
              <w:rPr>
                <w:rFonts w:hint="eastAsia" w:ascii="黑体" w:eastAsia="黑体"/>
                <w:sz w:val="24"/>
              </w:rPr>
              <w:t>执收单位</w:t>
            </w:r>
          </w:p>
        </w:tc>
      </w:tr>
      <w:tr w14:paraId="02407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4700" w:type="dxa"/>
            <w:gridSpan w:val="6"/>
            <w:vAlign w:val="center"/>
          </w:tcPr>
          <w:p w14:paraId="20C9CF84">
            <w:pPr>
              <w:spacing w:line="400" w:lineRule="exact"/>
              <w:jc w:val="center"/>
              <w:rPr>
                <w:rFonts w:ascii="楷体_GB2312" w:eastAsia="楷体_GB2312"/>
                <w:sz w:val="24"/>
              </w:rPr>
            </w:pPr>
            <w:r>
              <w:rPr>
                <w:rFonts w:hint="eastAsia" w:ascii="楷体_GB2312" w:eastAsia="楷体_GB2312"/>
                <w:sz w:val="24"/>
              </w:rPr>
              <w:t>一、环境资源保护处</w:t>
            </w:r>
          </w:p>
        </w:tc>
      </w:tr>
      <w:tr w14:paraId="0CE0F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20" w:type="dxa"/>
            <w:vAlign w:val="center"/>
          </w:tcPr>
          <w:p w14:paraId="6B0AFAE4">
            <w:pPr>
              <w:widowControl/>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1</w:t>
            </w:r>
          </w:p>
        </w:tc>
        <w:tc>
          <w:tcPr>
            <w:tcW w:w="1599" w:type="dxa"/>
            <w:vAlign w:val="center"/>
          </w:tcPr>
          <w:p w14:paraId="270C6140">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城市基础设施配套费</w:t>
            </w:r>
          </w:p>
        </w:tc>
        <w:tc>
          <w:tcPr>
            <w:tcW w:w="6321" w:type="dxa"/>
            <w:vAlign w:val="center"/>
          </w:tcPr>
          <w:p w14:paraId="122F2A1B">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国务院国发〔1998〕34号；财政部财综函〔2002〕3号；省物价局、省财政厅、省建设厅皖价费〔2008〕112号；财政部、国家发展改革委财税〔2019〕53号；省财政厅、省发展改革委皖财综〔2019〕866号</w:t>
            </w:r>
          </w:p>
          <w:p w14:paraId="71E33D9F">
            <w:pPr>
              <w:widowControl/>
              <w:snapToGrid w:val="0"/>
              <w:spacing w:line="300" w:lineRule="exact"/>
              <w:rPr>
                <w:rFonts w:ascii="仿宋_GB2312" w:eastAsia="仿宋_GB2312" w:cs="宋体"/>
                <w:snapToGrid w:val="0"/>
                <w:kern w:val="0"/>
                <w:szCs w:val="21"/>
              </w:rPr>
            </w:pPr>
          </w:p>
        </w:tc>
        <w:tc>
          <w:tcPr>
            <w:tcW w:w="2340" w:type="dxa"/>
            <w:vAlign w:val="center"/>
          </w:tcPr>
          <w:p w14:paraId="79FEC16B">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城市规划区内新建、扩建、改建的各类工业、民用和公共房屋建筑工程项目的单位和个人，详见文件</w:t>
            </w:r>
          </w:p>
        </w:tc>
        <w:tc>
          <w:tcPr>
            <w:tcW w:w="2250" w:type="dxa"/>
            <w:vAlign w:val="center"/>
          </w:tcPr>
          <w:p w14:paraId="355363B6">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按建设项目的建设面积计征，详见文件</w:t>
            </w:r>
          </w:p>
        </w:tc>
        <w:tc>
          <w:tcPr>
            <w:tcW w:w="1470" w:type="dxa"/>
            <w:vAlign w:val="center"/>
          </w:tcPr>
          <w:p w14:paraId="7707A85D">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环境资源保护处</w:t>
            </w:r>
          </w:p>
        </w:tc>
      </w:tr>
      <w:tr w14:paraId="294D6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4700" w:type="dxa"/>
            <w:gridSpan w:val="6"/>
            <w:vAlign w:val="center"/>
          </w:tcPr>
          <w:p w14:paraId="3C45469E">
            <w:pPr>
              <w:widowControl/>
              <w:snapToGrid w:val="0"/>
              <w:spacing w:line="300" w:lineRule="exact"/>
              <w:jc w:val="center"/>
              <w:rPr>
                <w:rFonts w:ascii="仿宋_GB2312" w:eastAsia="楷体_GB2312" w:cs="宋体"/>
                <w:snapToGrid w:val="0"/>
                <w:kern w:val="0"/>
                <w:sz w:val="24"/>
              </w:rPr>
            </w:pPr>
            <w:r>
              <w:rPr>
                <w:rFonts w:hint="eastAsia" w:ascii="楷体_GB2312" w:eastAsia="楷体_GB2312"/>
                <w:sz w:val="24"/>
              </w:rPr>
              <w:t>二、税务局</w:t>
            </w:r>
          </w:p>
        </w:tc>
      </w:tr>
      <w:tr w14:paraId="65C62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20" w:type="dxa"/>
            <w:vAlign w:val="center"/>
          </w:tcPr>
          <w:p w14:paraId="22D4227D">
            <w:pPr>
              <w:widowControl/>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2</w:t>
            </w:r>
          </w:p>
        </w:tc>
        <w:tc>
          <w:tcPr>
            <w:tcW w:w="1599" w:type="dxa"/>
            <w:vAlign w:val="center"/>
          </w:tcPr>
          <w:p w14:paraId="004740C7">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森林植被恢复费</w:t>
            </w:r>
          </w:p>
        </w:tc>
        <w:tc>
          <w:tcPr>
            <w:tcW w:w="6321" w:type="dxa"/>
            <w:vAlign w:val="center"/>
          </w:tcPr>
          <w:p w14:paraId="023011FC">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《中华人民共和国森林法》；财政部、国家林业局财综〔2002〕73号、财税〔2015〕122号；省财政厅、省林业厅财综〔2003〕1088号、财综〔2015〕2241号</w:t>
            </w:r>
          </w:p>
          <w:p w14:paraId="291444D5">
            <w:pPr>
              <w:widowControl/>
              <w:snapToGrid w:val="0"/>
              <w:spacing w:line="300" w:lineRule="exact"/>
              <w:rPr>
                <w:rFonts w:ascii="仿宋_GB2312" w:eastAsia="仿宋_GB2312" w:cs="宋体"/>
                <w:snapToGrid w:val="0"/>
                <w:kern w:val="0"/>
                <w:szCs w:val="21"/>
              </w:rPr>
            </w:pPr>
          </w:p>
        </w:tc>
        <w:tc>
          <w:tcPr>
            <w:tcW w:w="2340" w:type="dxa"/>
            <w:vAlign w:val="center"/>
          </w:tcPr>
          <w:p w14:paraId="683C8D8D">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勘查、开采矿藏和修建道路、水利、电力、通讯等各项工程确需占用、征用林地的用地单位</w:t>
            </w:r>
          </w:p>
        </w:tc>
        <w:tc>
          <w:tcPr>
            <w:tcW w:w="2250" w:type="dxa"/>
            <w:vAlign w:val="center"/>
          </w:tcPr>
          <w:p w14:paraId="5D821AE0">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郁闭度0.2以上的乔木林地（含采伐迹地、火烧迹地）、竹林地、苗圃地，每平方米12元；灌木林地、疏林地、未成林造林地，每平方米8元；宜林地，每平方米5元；详见文件</w:t>
            </w:r>
          </w:p>
        </w:tc>
        <w:tc>
          <w:tcPr>
            <w:tcW w:w="1470" w:type="dxa"/>
            <w:vAlign w:val="center"/>
          </w:tcPr>
          <w:p w14:paraId="18C57C5C">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税务局</w:t>
            </w:r>
          </w:p>
        </w:tc>
      </w:tr>
      <w:tr w14:paraId="557D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5" w:hRule="atLeast"/>
        </w:trPr>
        <w:tc>
          <w:tcPr>
            <w:tcW w:w="720" w:type="dxa"/>
            <w:vAlign w:val="center"/>
          </w:tcPr>
          <w:p w14:paraId="3E25C452">
            <w:pPr>
              <w:widowControl/>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3▲</w:t>
            </w:r>
          </w:p>
        </w:tc>
        <w:tc>
          <w:tcPr>
            <w:tcW w:w="1599" w:type="dxa"/>
            <w:vAlign w:val="center"/>
          </w:tcPr>
          <w:p w14:paraId="26B394BE">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教育费附加</w:t>
            </w:r>
          </w:p>
        </w:tc>
        <w:tc>
          <w:tcPr>
            <w:tcW w:w="6321" w:type="dxa"/>
            <w:vAlign w:val="center"/>
          </w:tcPr>
          <w:p w14:paraId="422622F3">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教育法》；国务院令第60号；国务院令第448号、第588号；国发明电〔1994〕2号、国发明电〔1994〕23号；国发〔2010〕35号；财政部、国家税务总局财税〔2010〕103号、财税〔2016〕12号、财税〔2019〕13号、财税〔2019〕46号;财政部、国家税务总局公告2022年第10号；省财政厅、国家税务总局安徽省税务局财税法〔2019〕119号、皖财税法〔2022〕241号</w:t>
            </w:r>
          </w:p>
        </w:tc>
        <w:tc>
          <w:tcPr>
            <w:tcW w:w="2340" w:type="dxa"/>
            <w:vAlign w:val="center"/>
          </w:tcPr>
          <w:p w14:paraId="424FD7CF">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缴纳增值税、营业税、消费税的单位和个人</w:t>
            </w:r>
          </w:p>
        </w:tc>
        <w:tc>
          <w:tcPr>
            <w:tcW w:w="2250" w:type="dxa"/>
            <w:vAlign w:val="center"/>
          </w:tcPr>
          <w:p w14:paraId="1176776B">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按增值税、营业税、消费税税额的3%征收</w:t>
            </w:r>
          </w:p>
        </w:tc>
        <w:tc>
          <w:tcPr>
            <w:tcW w:w="1470" w:type="dxa"/>
            <w:vAlign w:val="center"/>
          </w:tcPr>
          <w:p w14:paraId="7320FB2B">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税务局</w:t>
            </w:r>
          </w:p>
        </w:tc>
      </w:tr>
    </w:tbl>
    <w:tbl>
      <w:tblPr>
        <w:tblStyle w:val="3"/>
        <w:tblW w:w="1460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559"/>
        <w:gridCol w:w="5868"/>
        <w:gridCol w:w="369"/>
        <w:gridCol w:w="1971"/>
        <w:gridCol w:w="439"/>
        <w:gridCol w:w="2268"/>
        <w:gridCol w:w="1418"/>
      </w:tblGrid>
      <w:tr w14:paraId="1B3B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Align w:val="center"/>
          </w:tcPr>
          <w:p w14:paraId="68E410DA">
            <w:pPr>
              <w:spacing w:line="400" w:lineRule="exact"/>
              <w:jc w:val="center"/>
              <w:rPr>
                <w:rFonts w:ascii="黑体" w:eastAsia="黑体"/>
                <w:sz w:val="24"/>
              </w:rPr>
            </w:pPr>
            <w:r>
              <w:rPr>
                <w:rFonts w:hint="eastAsia" w:ascii="黑体" w:eastAsia="黑体"/>
                <w:sz w:val="24"/>
              </w:rPr>
              <w:t>序号</w:t>
            </w:r>
          </w:p>
        </w:tc>
        <w:tc>
          <w:tcPr>
            <w:tcW w:w="1559" w:type="dxa"/>
            <w:vAlign w:val="center"/>
          </w:tcPr>
          <w:p w14:paraId="08969C90">
            <w:pPr>
              <w:spacing w:line="400" w:lineRule="exact"/>
              <w:jc w:val="center"/>
              <w:rPr>
                <w:rFonts w:ascii="黑体" w:eastAsia="黑体"/>
                <w:sz w:val="24"/>
              </w:rPr>
            </w:pPr>
            <w:r>
              <w:rPr>
                <w:rFonts w:hint="eastAsia" w:ascii="黑体" w:eastAsia="黑体"/>
                <w:sz w:val="24"/>
              </w:rPr>
              <w:t>收费项目</w:t>
            </w:r>
          </w:p>
        </w:tc>
        <w:tc>
          <w:tcPr>
            <w:tcW w:w="6237" w:type="dxa"/>
            <w:gridSpan w:val="2"/>
            <w:vAlign w:val="center"/>
          </w:tcPr>
          <w:p w14:paraId="5389AA97">
            <w:pPr>
              <w:spacing w:line="400" w:lineRule="exact"/>
              <w:jc w:val="center"/>
              <w:rPr>
                <w:rFonts w:ascii="黑体" w:eastAsia="黑体"/>
                <w:sz w:val="24"/>
              </w:rPr>
            </w:pPr>
            <w:r>
              <w:rPr>
                <w:rFonts w:hint="eastAsia" w:ascii="黑体" w:eastAsia="黑体"/>
                <w:sz w:val="24"/>
              </w:rPr>
              <w:t>收费依据</w:t>
            </w:r>
          </w:p>
        </w:tc>
        <w:tc>
          <w:tcPr>
            <w:tcW w:w="2410" w:type="dxa"/>
            <w:gridSpan w:val="2"/>
            <w:vAlign w:val="center"/>
          </w:tcPr>
          <w:p w14:paraId="11A68986">
            <w:pPr>
              <w:spacing w:line="400" w:lineRule="exact"/>
              <w:jc w:val="center"/>
              <w:rPr>
                <w:rFonts w:ascii="黑体" w:eastAsia="黑体"/>
                <w:sz w:val="24"/>
              </w:rPr>
            </w:pPr>
            <w:r>
              <w:rPr>
                <w:rFonts w:hint="eastAsia" w:ascii="黑体" w:eastAsia="黑体"/>
                <w:sz w:val="24"/>
              </w:rPr>
              <w:t>收费范围和对象</w:t>
            </w:r>
          </w:p>
        </w:tc>
        <w:tc>
          <w:tcPr>
            <w:tcW w:w="2268" w:type="dxa"/>
            <w:vAlign w:val="center"/>
          </w:tcPr>
          <w:p w14:paraId="6EF5F21E">
            <w:pPr>
              <w:spacing w:line="400" w:lineRule="exact"/>
              <w:jc w:val="center"/>
              <w:rPr>
                <w:rFonts w:ascii="黑体" w:eastAsia="黑体"/>
                <w:sz w:val="24"/>
              </w:rPr>
            </w:pPr>
            <w:r>
              <w:rPr>
                <w:rFonts w:hint="eastAsia" w:ascii="黑体" w:eastAsia="黑体"/>
                <w:sz w:val="24"/>
              </w:rPr>
              <w:t>收费标准</w:t>
            </w:r>
          </w:p>
        </w:tc>
        <w:tc>
          <w:tcPr>
            <w:tcW w:w="1418" w:type="dxa"/>
            <w:vAlign w:val="center"/>
          </w:tcPr>
          <w:p w14:paraId="507A31E9">
            <w:pPr>
              <w:spacing w:line="400" w:lineRule="exact"/>
              <w:jc w:val="center"/>
              <w:rPr>
                <w:rFonts w:ascii="黑体" w:eastAsia="黑体"/>
                <w:sz w:val="24"/>
              </w:rPr>
            </w:pPr>
            <w:r>
              <w:rPr>
                <w:rFonts w:hint="eastAsia" w:ascii="黑体" w:eastAsia="黑体"/>
                <w:sz w:val="24"/>
              </w:rPr>
              <w:t>执收单位</w:t>
            </w:r>
          </w:p>
        </w:tc>
      </w:tr>
      <w:tr w14:paraId="3147E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Align w:val="center"/>
          </w:tcPr>
          <w:p w14:paraId="223AE23D">
            <w:pPr>
              <w:spacing w:line="400" w:lineRule="exact"/>
              <w:jc w:val="center"/>
              <w:rPr>
                <w:rFonts w:hint="eastAsia" w:ascii="黑体" w:eastAsia="黑体"/>
                <w:sz w:val="24"/>
              </w:rPr>
            </w:pPr>
          </w:p>
        </w:tc>
        <w:tc>
          <w:tcPr>
            <w:tcW w:w="1559" w:type="dxa"/>
            <w:vAlign w:val="center"/>
          </w:tcPr>
          <w:p w14:paraId="154D28C0">
            <w:pPr>
              <w:spacing w:line="400" w:lineRule="exact"/>
              <w:jc w:val="center"/>
              <w:rPr>
                <w:rFonts w:hint="eastAsia" w:ascii="黑体" w:eastAsia="黑体"/>
                <w:sz w:val="24"/>
              </w:rPr>
            </w:pPr>
          </w:p>
        </w:tc>
        <w:tc>
          <w:tcPr>
            <w:tcW w:w="6237" w:type="dxa"/>
            <w:gridSpan w:val="2"/>
            <w:vAlign w:val="center"/>
          </w:tcPr>
          <w:p w14:paraId="4D9E8AB9">
            <w:pPr>
              <w:spacing w:line="400" w:lineRule="exact"/>
              <w:jc w:val="center"/>
              <w:rPr>
                <w:rFonts w:hint="eastAsia" w:ascii="黑体" w:eastAsia="黑体"/>
                <w:sz w:val="24"/>
              </w:rPr>
            </w:pPr>
          </w:p>
        </w:tc>
        <w:tc>
          <w:tcPr>
            <w:tcW w:w="2410" w:type="dxa"/>
            <w:gridSpan w:val="2"/>
            <w:vAlign w:val="center"/>
          </w:tcPr>
          <w:p w14:paraId="1995CE70">
            <w:pPr>
              <w:spacing w:line="400" w:lineRule="exact"/>
              <w:jc w:val="center"/>
              <w:rPr>
                <w:rFonts w:hint="eastAsia" w:ascii="黑体" w:eastAsia="黑体"/>
                <w:sz w:val="24"/>
              </w:rPr>
            </w:pPr>
          </w:p>
        </w:tc>
        <w:tc>
          <w:tcPr>
            <w:tcW w:w="2268" w:type="dxa"/>
            <w:vAlign w:val="center"/>
          </w:tcPr>
          <w:p w14:paraId="7726CCCC">
            <w:pPr>
              <w:spacing w:line="400" w:lineRule="exact"/>
              <w:jc w:val="center"/>
              <w:rPr>
                <w:rFonts w:hint="eastAsia" w:ascii="黑体" w:eastAsia="黑体"/>
                <w:sz w:val="24"/>
              </w:rPr>
            </w:pPr>
          </w:p>
        </w:tc>
        <w:tc>
          <w:tcPr>
            <w:tcW w:w="1418" w:type="dxa"/>
            <w:vAlign w:val="center"/>
          </w:tcPr>
          <w:p w14:paraId="29763BE4">
            <w:pPr>
              <w:spacing w:line="400" w:lineRule="exact"/>
              <w:jc w:val="center"/>
              <w:rPr>
                <w:rFonts w:hint="eastAsia" w:ascii="黑体" w:eastAsia="黑体"/>
                <w:sz w:val="24"/>
              </w:rPr>
            </w:pPr>
          </w:p>
        </w:tc>
      </w:tr>
      <w:tr w14:paraId="5FE58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6" w:hRule="atLeast"/>
        </w:trPr>
        <w:tc>
          <w:tcPr>
            <w:tcW w:w="709" w:type="dxa"/>
            <w:vAlign w:val="center"/>
          </w:tcPr>
          <w:p w14:paraId="5733AD84">
            <w:pPr>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4▲</w:t>
            </w:r>
          </w:p>
        </w:tc>
        <w:tc>
          <w:tcPr>
            <w:tcW w:w="1559" w:type="dxa"/>
            <w:vAlign w:val="center"/>
          </w:tcPr>
          <w:p w14:paraId="25E3EF41">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地方教育费附加</w:t>
            </w:r>
          </w:p>
        </w:tc>
        <w:tc>
          <w:tcPr>
            <w:tcW w:w="5868" w:type="dxa"/>
            <w:vAlign w:val="center"/>
          </w:tcPr>
          <w:p w14:paraId="5AE7F5EE">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教育法》；财政部财综〔2010〕98号、财综函〔2011〕5号；省财政厅、省地税局、省教育厅财综〔2011〕349号；财政部、国家税务总局财税〔2016〕12号、财税〔2019〕13号、财税〔2019〕46号;财政部、国家税务总局公告2022年第10号；省财政厅、国家税务总局安徽省税务局财税法〔2019〕119号、皖财税法〔2022〕241号</w:t>
            </w:r>
          </w:p>
        </w:tc>
        <w:tc>
          <w:tcPr>
            <w:tcW w:w="2340" w:type="dxa"/>
            <w:gridSpan w:val="2"/>
            <w:vAlign w:val="center"/>
          </w:tcPr>
          <w:p w14:paraId="4A26A609">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缴纳增值税、营业税、消费税的单位和个人</w:t>
            </w:r>
          </w:p>
        </w:tc>
        <w:tc>
          <w:tcPr>
            <w:tcW w:w="2707" w:type="dxa"/>
            <w:gridSpan w:val="2"/>
            <w:vAlign w:val="center"/>
          </w:tcPr>
          <w:p w14:paraId="1769D43E">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按增值税、营业税、消费税税额的2%征收</w:t>
            </w:r>
          </w:p>
        </w:tc>
        <w:tc>
          <w:tcPr>
            <w:tcW w:w="1418" w:type="dxa"/>
            <w:vAlign w:val="center"/>
          </w:tcPr>
          <w:p w14:paraId="176BE0F2">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税务局</w:t>
            </w:r>
          </w:p>
        </w:tc>
      </w:tr>
      <w:tr w14:paraId="66D70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7" w:hRule="atLeast"/>
        </w:trPr>
        <w:tc>
          <w:tcPr>
            <w:tcW w:w="709" w:type="dxa"/>
            <w:vAlign w:val="center"/>
          </w:tcPr>
          <w:p w14:paraId="436B6B08">
            <w:pPr>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5▲</w:t>
            </w:r>
          </w:p>
        </w:tc>
        <w:tc>
          <w:tcPr>
            <w:tcW w:w="1559" w:type="dxa"/>
            <w:vAlign w:val="center"/>
          </w:tcPr>
          <w:p w14:paraId="651DEEFC">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水利建设基金</w:t>
            </w:r>
          </w:p>
        </w:tc>
        <w:tc>
          <w:tcPr>
            <w:tcW w:w="5868" w:type="dxa"/>
            <w:vAlign w:val="center"/>
          </w:tcPr>
          <w:p w14:paraId="39762F05">
            <w:pPr>
              <w:snapToGrid w:val="0"/>
              <w:spacing w:line="300" w:lineRule="exact"/>
              <w:rPr>
                <w:rFonts w:hint="eastAsia" w:ascii="仿宋_GB2312" w:hAnsi="Times New Roman" w:eastAsia="仿宋_GB2312" w:cs="宋体"/>
                <w:snapToGrid w:val="0"/>
                <w:kern w:val="0"/>
                <w:szCs w:val="21"/>
              </w:rPr>
            </w:pPr>
            <w:r>
              <w:rPr>
                <w:rFonts w:hint="eastAsia" w:ascii="仿宋_GB2312" w:eastAsia="仿宋_GB2312" w:cs="宋体"/>
                <w:snapToGrid w:val="0"/>
                <w:kern w:val="0"/>
                <w:szCs w:val="21"/>
              </w:rPr>
              <w:t>财政部、国家发展改革委、水利部财综〔2011〕2号；皖政〔2012〕54号；财政部、国家税务总局财税〔2016〕12号；皖政〔2012〕54号；省财政厅皖财综〔2021〕86号；省财政厅、国家税务总局安徽省税务局皖财综〔2022〕299号</w:t>
            </w:r>
            <w:r>
              <w:rPr>
                <w:rFonts w:hint="eastAsia" w:ascii="仿宋_GB2312" w:eastAsia="仿宋_GB2312" w:cs="宋体"/>
                <w:snapToGrid w:val="0"/>
                <w:kern w:val="0"/>
                <w:szCs w:val="21"/>
                <w:lang w:eastAsia="zh-CN"/>
              </w:rPr>
              <w:t>；</w:t>
            </w:r>
            <w:r>
              <w:rPr>
                <w:rFonts w:hint="eastAsia" w:ascii="仿宋_GB2312" w:hAnsi="Times New Roman" w:eastAsia="仿宋_GB2312" w:cs="宋体"/>
                <w:snapToGrid w:val="0"/>
                <w:kern w:val="0"/>
                <w:szCs w:val="21"/>
                <w:lang w:eastAsia="zh-CN"/>
              </w:rPr>
              <w:t>省财政厅、国家税务总局安徽省税务局皖财综</w:t>
            </w:r>
            <w:r>
              <w:rPr>
                <w:rFonts w:hint="eastAsia" w:ascii="仿宋_GB2312" w:hAnsi="Times New Roman" w:eastAsia="仿宋_GB2312" w:cs="宋体"/>
                <w:snapToGrid w:val="0"/>
                <w:kern w:val="0"/>
                <w:szCs w:val="21"/>
                <w:lang w:val="en-US" w:eastAsia="zh-CN"/>
              </w:rPr>
              <w:t>〔2024〕</w:t>
            </w:r>
            <w:r>
              <w:rPr>
                <w:rFonts w:hint="eastAsia" w:ascii="仿宋_GB2312" w:hAnsi="Times New Roman" w:eastAsia="仿宋_GB2312" w:cs="宋体"/>
                <w:snapToGrid w:val="0"/>
                <w:kern w:val="0"/>
                <w:szCs w:val="21"/>
                <w:lang w:eastAsia="zh-CN"/>
              </w:rPr>
              <w:t>195号</w:t>
            </w:r>
          </w:p>
          <w:p w14:paraId="65DF87FC">
            <w:pPr>
              <w:snapToGrid w:val="0"/>
              <w:spacing w:line="300" w:lineRule="exact"/>
              <w:rPr>
                <w:rFonts w:ascii="仿宋_GB2312" w:eastAsia="仿宋_GB2312" w:cs="宋体"/>
                <w:snapToGrid w:val="0"/>
                <w:kern w:val="0"/>
                <w:szCs w:val="21"/>
              </w:rPr>
            </w:pPr>
          </w:p>
        </w:tc>
        <w:tc>
          <w:tcPr>
            <w:tcW w:w="2340" w:type="dxa"/>
            <w:gridSpan w:val="2"/>
            <w:vAlign w:val="center"/>
          </w:tcPr>
          <w:p w14:paraId="5127B816">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有销售收入和营业收入的企事业单位和个体经营者。</w:t>
            </w:r>
          </w:p>
        </w:tc>
        <w:tc>
          <w:tcPr>
            <w:tcW w:w="2707" w:type="dxa"/>
            <w:gridSpan w:val="2"/>
            <w:vAlign w:val="center"/>
          </w:tcPr>
          <w:p w14:paraId="5760BB28">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企事业单位和个体经营者，按其上年销售收入或营业收入的0.6‰征收。其中，银行（含信用社）按上年利息收入的0.4‰征收；保险公司按上年保费收入的0.4‰征收；各类信托投资公司、财务公司等非银行金融机构按上年业务收入的0.6‰征收。</w:t>
            </w:r>
          </w:p>
        </w:tc>
        <w:tc>
          <w:tcPr>
            <w:tcW w:w="1418" w:type="dxa"/>
            <w:vAlign w:val="center"/>
          </w:tcPr>
          <w:p w14:paraId="433626CC">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税务局</w:t>
            </w:r>
          </w:p>
        </w:tc>
      </w:tr>
      <w:tr w14:paraId="3026A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Align w:val="center"/>
          </w:tcPr>
          <w:p w14:paraId="3EB08D7F">
            <w:pPr>
              <w:snapToGrid w:val="0"/>
              <w:spacing w:line="300" w:lineRule="exact"/>
              <w:jc w:val="center"/>
              <w:rPr>
                <w:rFonts w:ascii="仿宋_GB2312" w:eastAsia="仿宋_GB2312" w:cs="宋体"/>
                <w:snapToGrid w:val="0"/>
                <w:kern w:val="0"/>
                <w:szCs w:val="21"/>
              </w:rPr>
            </w:pPr>
            <w:r>
              <w:rPr>
                <w:rFonts w:hint="eastAsia" w:ascii="仿宋_GB2312" w:eastAsia="仿宋_GB2312" w:cs="宋体"/>
                <w:snapToGrid w:val="0"/>
                <w:kern w:val="0"/>
                <w:szCs w:val="21"/>
              </w:rPr>
              <w:t>6▲</w:t>
            </w:r>
          </w:p>
        </w:tc>
        <w:tc>
          <w:tcPr>
            <w:tcW w:w="1559" w:type="dxa"/>
            <w:vAlign w:val="center"/>
          </w:tcPr>
          <w:p w14:paraId="35188DB8">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残疾人就业保障金</w:t>
            </w:r>
          </w:p>
        </w:tc>
        <w:tc>
          <w:tcPr>
            <w:tcW w:w="5868" w:type="dxa"/>
            <w:vAlign w:val="center"/>
          </w:tcPr>
          <w:p w14:paraId="7F59A30A">
            <w:pPr>
              <w:snapToGrid w:val="0"/>
              <w:spacing w:line="260" w:lineRule="exact"/>
              <w:rPr>
                <w:rFonts w:ascii="仿宋_GB2312" w:eastAsia="仿宋_GB2312" w:cs="宋体"/>
                <w:snapToGrid w:val="0"/>
                <w:kern w:val="0"/>
                <w:szCs w:val="21"/>
              </w:rPr>
            </w:pPr>
            <w:r>
              <w:rPr>
                <w:rFonts w:hint="eastAsia" w:ascii="仿宋_GB2312" w:eastAsia="仿宋_GB2312" w:cs="宋体"/>
                <w:snapToGrid w:val="0"/>
                <w:kern w:val="0"/>
                <w:szCs w:val="21"/>
              </w:rPr>
              <w:t>《中华人民共和国残疾人保障法》；《残疾人就业条例》；财政部财综字〔1995〕5号；财政部、中国残疾人联合会财综〔2001〕16号；省政府令第165号；财政部、国家税务总局、中国残疾人联合会财税〔2015〕72号；省财政厅、省地税局、省残联财综〔2015〕2033号；财政部、国家税务总局财税〔2014〕122号、财税〔2016〕12号；财政部财税〔2017〕18号、财税〔2018〕39号；财政部公告2019年第98号</w:t>
            </w:r>
          </w:p>
        </w:tc>
        <w:tc>
          <w:tcPr>
            <w:tcW w:w="2340" w:type="dxa"/>
            <w:gridSpan w:val="2"/>
            <w:vAlign w:val="center"/>
          </w:tcPr>
          <w:p w14:paraId="102BF81A">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未按规定安排残疾人就业的机关、团体、企业、事业单位和民办非企业单位</w:t>
            </w:r>
          </w:p>
        </w:tc>
        <w:tc>
          <w:tcPr>
            <w:tcW w:w="2707" w:type="dxa"/>
            <w:gridSpan w:val="2"/>
            <w:vAlign w:val="center"/>
          </w:tcPr>
          <w:p w14:paraId="060E13BA">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按上年用人单位安排残疾人就业未达到规定比例的差额人数和本单位在职职工年平均工资之积，详见文件</w:t>
            </w:r>
          </w:p>
        </w:tc>
        <w:tc>
          <w:tcPr>
            <w:tcW w:w="1418" w:type="dxa"/>
            <w:vAlign w:val="center"/>
          </w:tcPr>
          <w:p w14:paraId="64CD1D08">
            <w:pPr>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税务局</w:t>
            </w:r>
          </w:p>
        </w:tc>
      </w:tr>
    </w:tbl>
    <w:p w14:paraId="35F8C855">
      <w:pPr>
        <w:spacing w:line="280" w:lineRule="exact"/>
        <w:ind w:firstLine="420" w:firstLineChars="200"/>
        <w:rPr>
          <w:rFonts w:ascii="仿宋_GB2312" w:eastAsia="仿宋_GB2312" w:cs="宋体"/>
          <w:snapToGrid w:val="0"/>
          <w:kern w:val="0"/>
          <w:szCs w:val="21"/>
        </w:rPr>
      </w:pPr>
    </w:p>
    <w:p w14:paraId="01DB5F9E">
      <w:pPr>
        <w:pStyle w:val="2"/>
        <w:rPr>
          <w:rFonts w:ascii="仿宋_GB2312" w:eastAsia="仿宋_GB2312" w:cs="宋体"/>
          <w:snapToGrid w:val="0"/>
          <w:kern w:val="0"/>
          <w:szCs w:val="21"/>
        </w:rPr>
      </w:pPr>
    </w:p>
    <w:p w14:paraId="2F6391CE">
      <w:pPr>
        <w:pStyle w:val="2"/>
        <w:jc w:val="both"/>
        <w:rPr>
          <w:rFonts w:ascii="仿宋_GB2312" w:eastAsia="仿宋_GB2312" w:cs="宋体"/>
          <w:snapToGrid w:val="0"/>
          <w:kern w:val="0"/>
          <w:szCs w:val="21"/>
        </w:rPr>
      </w:pPr>
    </w:p>
    <w:tbl>
      <w:tblPr>
        <w:tblStyle w:val="3"/>
        <w:tblW w:w="0" w:type="auto"/>
        <w:jc w:val="center"/>
        <w:tblLayout w:type="fixed"/>
        <w:tblCellMar>
          <w:top w:w="0" w:type="dxa"/>
          <w:left w:w="108" w:type="dxa"/>
          <w:bottom w:w="0" w:type="dxa"/>
          <w:right w:w="108" w:type="dxa"/>
        </w:tblCellMar>
      </w:tblPr>
      <w:tblGrid>
        <w:gridCol w:w="6747"/>
        <w:gridCol w:w="7164"/>
      </w:tblGrid>
      <w:tr w14:paraId="43F895D5">
        <w:tblPrEx>
          <w:tblCellMar>
            <w:top w:w="0" w:type="dxa"/>
            <w:left w:w="108" w:type="dxa"/>
            <w:bottom w:w="0" w:type="dxa"/>
            <w:right w:w="108" w:type="dxa"/>
          </w:tblCellMar>
        </w:tblPrEx>
        <w:trPr>
          <w:trHeight w:val="227" w:hRule="atLeast"/>
          <w:jc w:val="center"/>
        </w:trPr>
        <w:tc>
          <w:tcPr>
            <w:tcW w:w="6747"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0324453B">
            <w:pPr>
              <w:widowControl/>
              <w:snapToGrid w:val="0"/>
              <w:spacing w:line="300" w:lineRule="exact"/>
              <w:rPr>
                <w:rFonts w:eastAsia="黑体"/>
                <w:bCs/>
                <w:snapToGrid w:val="0"/>
                <w:kern w:val="0"/>
                <w:szCs w:val="21"/>
              </w:rPr>
            </w:pPr>
            <w:r>
              <w:rPr>
                <w:rFonts w:hAnsi="黑体" w:eastAsia="黑体"/>
                <w:snapToGrid w:val="0"/>
                <w:kern w:val="0"/>
              </w:rPr>
              <w:t>注：</w:t>
            </w:r>
            <w:r>
              <w:rPr>
                <w:rFonts w:eastAsia="黑体"/>
                <w:snapToGrid w:val="0"/>
                <w:kern w:val="0"/>
              </w:rPr>
              <w:t>1.</w:t>
            </w:r>
            <w:r>
              <w:rPr>
                <w:rFonts w:hAnsi="黑体" w:eastAsia="黑体"/>
                <w:bCs/>
                <w:snapToGrid w:val="0"/>
                <w:kern w:val="0"/>
                <w:szCs w:val="21"/>
              </w:rPr>
              <w:t>责任事项</w:t>
            </w:r>
          </w:p>
        </w:tc>
        <w:tc>
          <w:tcPr>
            <w:tcW w:w="7164"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3CBC57F4">
            <w:pPr>
              <w:widowControl/>
              <w:snapToGrid w:val="0"/>
              <w:spacing w:line="300" w:lineRule="exact"/>
              <w:rPr>
                <w:rFonts w:eastAsia="黑体"/>
                <w:bCs/>
                <w:snapToGrid w:val="0"/>
                <w:kern w:val="0"/>
                <w:szCs w:val="21"/>
              </w:rPr>
            </w:pPr>
            <w:r>
              <w:rPr>
                <w:rFonts w:eastAsia="黑体"/>
                <w:bCs/>
                <w:snapToGrid w:val="0"/>
                <w:kern w:val="0"/>
                <w:szCs w:val="21"/>
              </w:rPr>
              <w:t>2.</w:t>
            </w:r>
            <w:r>
              <w:rPr>
                <w:rFonts w:hAnsi="黑体" w:eastAsia="黑体"/>
                <w:bCs/>
                <w:snapToGrid w:val="0"/>
                <w:kern w:val="0"/>
                <w:szCs w:val="21"/>
              </w:rPr>
              <w:t>追责情形</w:t>
            </w:r>
          </w:p>
        </w:tc>
      </w:tr>
      <w:tr w14:paraId="566605C7">
        <w:tblPrEx>
          <w:tblCellMar>
            <w:top w:w="0" w:type="dxa"/>
            <w:left w:w="108" w:type="dxa"/>
            <w:bottom w:w="0" w:type="dxa"/>
            <w:right w:w="108" w:type="dxa"/>
          </w:tblCellMar>
        </w:tblPrEx>
        <w:trPr>
          <w:trHeight w:val="170" w:hRule="atLeast"/>
          <w:jc w:val="center"/>
        </w:trPr>
        <w:tc>
          <w:tcPr>
            <w:tcW w:w="6747"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3FEBF430">
            <w:pPr>
              <w:widowControl/>
              <w:snapToGrid w:val="0"/>
              <w:spacing w:line="24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一、执收单位责任：</w:t>
            </w:r>
          </w:p>
          <w:p w14:paraId="4298FD5A">
            <w:pPr>
              <w:widowControl/>
              <w:snapToGrid w:val="0"/>
              <w:spacing w:line="24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1．按照规定在征收场所公布政府性基金的征收文件，接受社会监督；</w:t>
            </w:r>
          </w:p>
          <w:p w14:paraId="38852FD6">
            <w:pPr>
              <w:widowControl/>
              <w:snapToGrid w:val="0"/>
              <w:spacing w:line="24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2．按照规定的项目、范围、标准和期限征收政府性基金；</w:t>
            </w:r>
          </w:p>
          <w:p w14:paraId="7B292CA2">
            <w:pPr>
              <w:widowControl/>
              <w:snapToGrid w:val="0"/>
              <w:spacing w:line="24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3．征收时按照规定开具票据，不按规定开具票据的，公民、法人和其他组织有权拒绝缴纳；</w:t>
            </w:r>
          </w:p>
          <w:p w14:paraId="78445C05">
            <w:pPr>
              <w:widowControl/>
              <w:snapToGrid w:val="0"/>
              <w:spacing w:line="24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4．收入按规定及时、足额缴入相应级次国库，不得截留、坐支和挪作他用；</w:t>
            </w:r>
          </w:p>
          <w:p w14:paraId="2A7FF49F">
            <w:pPr>
              <w:widowControl/>
              <w:snapToGrid w:val="0"/>
              <w:spacing w:line="24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5．建立健全政府性基金的内部财务审计制度，自觉接受财政、审计部门的监督检查，如实提供相关资料；</w:t>
            </w:r>
          </w:p>
          <w:p w14:paraId="76861BFE">
            <w:pPr>
              <w:widowControl/>
              <w:snapToGrid w:val="0"/>
              <w:spacing w:line="24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6．不得改变征收对象、范围、标准，不得减征、免征、缓征、停征政府性基金；</w:t>
            </w:r>
          </w:p>
          <w:p w14:paraId="048F2EC5">
            <w:pPr>
              <w:widowControl/>
              <w:snapToGrid w:val="0"/>
              <w:spacing w:line="24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7．其他依法应承担的责任事项。</w:t>
            </w:r>
          </w:p>
          <w:p w14:paraId="05D6AE7C">
            <w:pPr>
              <w:widowControl/>
              <w:snapToGrid w:val="0"/>
              <w:spacing w:line="24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二、主管部门责任：</w:t>
            </w:r>
          </w:p>
          <w:p w14:paraId="22983E79">
            <w:pPr>
              <w:widowControl/>
              <w:snapToGrid w:val="0"/>
              <w:spacing w:line="24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1．贯彻落实政府性基金管理政策，主动公布本部门征收的有关政府性基金征收文件；</w:t>
            </w:r>
          </w:p>
          <w:p w14:paraId="1BC0F2C5">
            <w:pPr>
              <w:widowControl/>
              <w:snapToGrid w:val="0"/>
              <w:spacing w:line="24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2．负责对本部门政府性基金征收政策执行情况监督检查，依法纠正违法违规行为；</w:t>
            </w:r>
          </w:p>
          <w:p w14:paraId="365E7A95">
            <w:pPr>
              <w:widowControl/>
              <w:snapToGrid w:val="0"/>
              <w:spacing w:line="24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3．不得批准设立或者征收政府性基金，不得改变征收对象、范围、标准及期限，不得减征、免征、缓征、停征或撤销政府性基金；</w:t>
            </w:r>
          </w:p>
          <w:p w14:paraId="4FACF9AA">
            <w:pPr>
              <w:widowControl/>
              <w:snapToGrid w:val="0"/>
              <w:spacing w:line="240" w:lineRule="exact"/>
              <w:ind w:firstLine="420" w:firstLineChars="200"/>
              <w:rPr>
                <w:rFonts w:eastAsia="黑体"/>
                <w:snapToGrid w:val="0"/>
                <w:kern w:val="0"/>
                <w:szCs w:val="21"/>
              </w:rPr>
            </w:pPr>
            <w:r>
              <w:rPr>
                <w:rFonts w:hint="eastAsia" w:ascii="黑体" w:hAnsi="黑体" w:eastAsia="黑体" w:cs="黑体"/>
                <w:snapToGrid w:val="0"/>
                <w:kern w:val="0"/>
                <w:szCs w:val="21"/>
              </w:rPr>
              <w:t>4．其他依据法律法规和有关规定应当承担的责任事项。</w:t>
            </w:r>
          </w:p>
        </w:tc>
        <w:tc>
          <w:tcPr>
            <w:tcW w:w="7164"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583A874A">
            <w:pPr>
              <w:widowControl/>
              <w:snapToGrid w:val="0"/>
              <w:spacing w:line="25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一、执收单位违反政府性基金政策规定，有下列情形之一的，由财政等部门按照职责追究责任：</w:t>
            </w:r>
          </w:p>
          <w:p w14:paraId="70E8D98F">
            <w:pPr>
              <w:widowControl/>
              <w:snapToGrid w:val="0"/>
              <w:spacing w:line="25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1．违反规定设立政府性基金项目、扩大征收范围、改变征收环节、征收对象的；</w:t>
            </w:r>
          </w:p>
          <w:p w14:paraId="3376362C">
            <w:pPr>
              <w:widowControl/>
              <w:snapToGrid w:val="0"/>
              <w:spacing w:line="25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2．自行提高征收标准、继续收取已明令取消、停征、缓征的政府性基金项目的；</w:t>
            </w:r>
          </w:p>
          <w:p w14:paraId="7FAFD641">
            <w:pPr>
              <w:widowControl/>
              <w:snapToGrid w:val="0"/>
              <w:spacing w:line="25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3．未按规定向社会公示政府性基金项目、征收标准的；</w:t>
            </w:r>
          </w:p>
          <w:p w14:paraId="2E8EDE11">
            <w:pPr>
              <w:widowControl/>
              <w:snapToGrid w:val="0"/>
              <w:spacing w:line="25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4．未按规定使用财政票据的；</w:t>
            </w:r>
          </w:p>
          <w:p w14:paraId="0AAF3163">
            <w:pPr>
              <w:widowControl/>
              <w:snapToGrid w:val="0"/>
              <w:spacing w:line="25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5．其他依法应承担的责任事项。</w:t>
            </w:r>
          </w:p>
          <w:p w14:paraId="1AB6AC47">
            <w:pPr>
              <w:widowControl/>
              <w:snapToGrid w:val="0"/>
              <w:spacing w:line="300" w:lineRule="exact"/>
              <w:ind w:firstLine="420" w:firstLineChars="200"/>
              <w:rPr>
                <w:rFonts w:eastAsia="黑体"/>
                <w:snapToGrid w:val="0"/>
                <w:kern w:val="0"/>
                <w:szCs w:val="21"/>
              </w:rPr>
            </w:pPr>
            <w:r>
              <w:rPr>
                <w:rFonts w:hint="eastAsia" w:ascii="黑体" w:hAnsi="黑体" w:eastAsia="黑体" w:cs="黑体"/>
                <w:snapToGrid w:val="0"/>
                <w:kern w:val="0"/>
                <w:szCs w:val="21"/>
              </w:rPr>
              <w:t>二、主管部门及其有关工作人员不履行或不正确履行职责的，由监察、审计等部门依法追究责任。</w:t>
            </w:r>
          </w:p>
        </w:tc>
      </w:tr>
      <w:tr w14:paraId="4A1C3D84">
        <w:tblPrEx>
          <w:tblCellMar>
            <w:top w:w="0" w:type="dxa"/>
            <w:left w:w="108" w:type="dxa"/>
            <w:bottom w:w="0" w:type="dxa"/>
            <w:right w:w="108" w:type="dxa"/>
          </w:tblCellMar>
        </w:tblPrEx>
        <w:trPr>
          <w:trHeight w:val="397" w:hRule="atLeast"/>
          <w:jc w:val="center"/>
        </w:trPr>
        <w:tc>
          <w:tcPr>
            <w:tcW w:w="13911" w:type="dxa"/>
            <w:gridSpan w:val="2"/>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3D1594EC">
            <w:pPr>
              <w:widowControl/>
              <w:snapToGrid w:val="0"/>
              <w:spacing w:line="30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rPr>
              <w:t>3.</w:t>
            </w:r>
            <w:r>
              <w:rPr>
                <w:rFonts w:hint="eastAsia" w:ascii="黑体" w:hAnsi="黑体" w:eastAsia="黑体" w:cs="黑体"/>
                <w:snapToGrid w:val="0"/>
                <w:kern w:val="0"/>
                <w:szCs w:val="21"/>
              </w:rPr>
              <w:t>以上基金为经国家和省批准设立的、风景区实际征收的涉企政府性基金。</w:t>
            </w:r>
          </w:p>
          <w:p w14:paraId="41D69E78">
            <w:pPr>
              <w:spacing w:line="28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szCs w:val="21"/>
              </w:rPr>
              <w:t>4.中央和省级单位征收的涉企政府性基金按《安徽省省级涉企收费清单》执行。</w:t>
            </w:r>
          </w:p>
          <w:p w14:paraId="53C8FFD9">
            <w:pPr>
              <w:spacing w:line="300" w:lineRule="exact"/>
              <w:ind w:firstLine="420" w:firstLineChars="200"/>
              <w:rPr>
                <w:rFonts w:ascii="黑体" w:hAnsi="黑体" w:eastAsia="黑体" w:cs="黑体"/>
                <w:snapToGrid w:val="0"/>
                <w:kern w:val="0"/>
                <w:szCs w:val="21"/>
              </w:rPr>
            </w:pPr>
            <w:r>
              <w:rPr>
                <w:rFonts w:hint="eastAsia" w:ascii="黑体" w:hAnsi="黑体" w:eastAsia="黑体" w:cs="黑体"/>
                <w:snapToGrid w:val="0"/>
                <w:kern w:val="0"/>
              </w:rPr>
              <w:t>5.标注“</w:t>
            </w:r>
            <w:r>
              <w:rPr>
                <w:rFonts w:hint="eastAsia" w:ascii="黑体" w:hAnsi="黑体" w:eastAsia="黑体" w:cs="黑体"/>
                <w:snapToGrid w:val="0"/>
                <w:kern w:val="0"/>
                <w:szCs w:val="21"/>
              </w:rPr>
              <w:t>▲</w:t>
            </w:r>
            <w:r>
              <w:rPr>
                <w:rFonts w:hint="eastAsia" w:ascii="黑体" w:hAnsi="黑体" w:eastAsia="黑体" w:cs="黑体"/>
                <w:snapToGrid w:val="0"/>
                <w:kern w:val="0"/>
              </w:rPr>
              <w:t>”的项目对小微企业免征。</w:t>
            </w:r>
          </w:p>
        </w:tc>
      </w:tr>
    </w:tbl>
    <w:p w14:paraId="3582F26B">
      <w:pPr>
        <w:pStyle w:val="2"/>
      </w:pPr>
    </w:p>
    <w:p w14:paraId="6D0257EB">
      <w:pPr>
        <w:pStyle w:val="2"/>
      </w:pPr>
    </w:p>
    <w:p w14:paraId="6C31293B">
      <w:pPr>
        <w:pStyle w:val="2"/>
      </w:pPr>
    </w:p>
    <w:p w14:paraId="68EE70D0">
      <w:pPr>
        <w:pStyle w:val="2"/>
      </w:pPr>
    </w:p>
    <w:p w14:paraId="59BFC24D">
      <w:pPr>
        <w:jc w:val="center"/>
        <w:outlineLvl w:val="0"/>
        <w:rPr>
          <w:rFonts w:ascii="黑体" w:eastAsia="黑体"/>
          <w:sz w:val="30"/>
          <w:szCs w:val="30"/>
        </w:rPr>
      </w:pPr>
      <w:r>
        <w:rPr>
          <w:rFonts w:hint="eastAsia" w:ascii="黑体" w:eastAsia="黑体"/>
          <w:sz w:val="30"/>
          <w:szCs w:val="30"/>
        </w:rPr>
        <w:t>三、实行政府定价管理的经营服务性收费</w:t>
      </w:r>
    </w:p>
    <w:tbl>
      <w:tblPr>
        <w:tblStyle w:val="3"/>
        <w:tblW w:w="14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191"/>
        <w:gridCol w:w="1304"/>
        <w:gridCol w:w="4573"/>
        <w:gridCol w:w="2492"/>
        <w:gridCol w:w="1587"/>
        <w:gridCol w:w="1247"/>
        <w:gridCol w:w="1336"/>
      </w:tblGrid>
      <w:tr w14:paraId="76B1A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737" w:type="dxa"/>
            <w:vAlign w:val="center"/>
          </w:tcPr>
          <w:p w14:paraId="3532E37F">
            <w:pPr>
              <w:spacing w:line="280" w:lineRule="exact"/>
              <w:jc w:val="center"/>
              <w:rPr>
                <w:rFonts w:ascii="黑体" w:eastAsia="黑体"/>
                <w:sz w:val="24"/>
              </w:rPr>
            </w:pPr>
            <w:r>
              <w:rPr>
                <w:rFonts w:hint="eastAsia" w:ascii="黑体" w:eastAsia="黑体"/>
                <w:sz w:val="24"/>
              </w:rPr>
              <w:t>类型</w:t>
            </w:r>
          </w:p>
        </w:tc>
        <w:tc>
          <w:tcPr>
            <w:tcW w:w="1191" w:type="dxa"/>
            <w:vAlign w:val="center"/>
          </w:tcPr>
          <w:p w14:paraId="1E7EB4BB">
            <w:pPr>
              <w:spacing w:line="280" w:lineRule="exact"/>
              <w:jc w:val="center"/>
              <w:rPr>
                <w:rFonts w:ascii="黑体" w:eastAsia="黑体"/>
                <w:sz w:val="24"/>
              </w:rPr>
            </w:pPr>
            <w:r>
              <w:rPr>
                <w:rFonts w:hint="eastAsia" w:ascii="黑体" w:eastAsia="黑体"/>
                <w:sz w:val="24"/>
              </w:rPr>
              <w:t>一级项目</w:t>
            </w:r>
          </w:p>
        </w:tc>
        <w:tc>
          <w:tcPr>
            <w:tcW w:w="1304" w:type="dxa"/>
            <w:vAlign w:val="center"/>
          </w:tcPr>
          <w:p w14:paraId="19AA476F">
            <w:pPr>
              <w:spacing w:line="280" w:lineRule="exact"/>
              <w:jc w:val="center"/>
              <w:rPr>
                <w:rFonts w:ascii="黑体" w:eastAsia="黑体"/>
                <w:sz w:val="24"/>
              </w:rPr>
            </w:pPr>
            <w:r>
              <w:rPr>
                <w:rFonts w:hint="eastAsia" w:ascii="黑体" w:eastAsia="黑体"/>
                <w:sz w:val="24"/>
              </w:rPr>
              <w:t>二级项目</w:t>
            </w:r>
          </w:p>
        </w:tc>
        <w:tc>
          <w:tcPr>
            <w:tcW w:w="4573" w:type="dxa"/>
            <w:vAlign w:val="center"/>
          </w:tcPr>
          <w:p w14:paraId="452A5F78">
            <w:pPr>
              <w:spacing w:line="280" w:lineRule="exact"/>
              <w:jc w:val="center"/>
              <w:rPr>
                <w:rFonts w:ascii="黑体" w:eastAsia="黑体"/>
                <w:sz w:val="24"/>
              </w:rPr>
            </w:pPr>
            <w:r>
              <w:rPr>
                <w:rFonts w:hint="eastAsia" w:ascii="黑体" w:eastAsia="黑体"/>
                <w:sz w:val="24"/>
              </w:rPr>
              <w:t>收费标准</w:t>
            </w:r>
          </w:p>
        </w:tc>
        <w:tc>
          <w:tcPr>
            <w:tcW w:w="2492" w:type="dxa"/>
            <w:vAlign w:val="center"/>
          </w:tcPr>
          <w:p w14:paraId="76F7215D">
            <w:pPr>
              <w:spacing w:line="280" w:lineRule="exact"/>
              <w:jc w:val="center"/>
              <w:rPr>
                <w:rFonts w:ascii="黑体" w:eastAsia="黑体"/>
                <w:sz w:val="24"/>
              </w:rPr>
            </w:pPr>
            <w:r>
              <w:rPr>
                <w:rFonts w:hint="eastAsia" w:ascii="黑体" w:eastAsia="黑体"/>
                <w:sz w:val="24"/>
              </w:rPr>
              <w:t>收费文件（文号）</w:t>
            </w:r>
          </w:p>
        </w:tc>
        <w:tc>
          <w:tcPr>
            <w:tcW w:w="1587" w:type="dxa"/>
            <w:vAlign w:val="center"/>
          </w:tcPr>
          <w:p w14:paraId="6ABF6B29">
            <w:pPr>
              <w:spacing w:line="280" w:lineRule="exact"/>
              <w:jc w:val="center"/>
              <w:rPr>
                <w:rFonts w:ascii="黑体" w:eastAsia="黑体"/>
                <w:sz w:val="24"/>
              </w:rPr>
            </w:pPr>
            <w:r>
              <w:rPr>
                <w:rFonts w:hint="eastAsia" w:ascii="黑体" w:eastAsia="黑体"/>
                <w:sz w:val="24"/>
              </w:rPr>
              <w:t>定价部门</w:t>
            </w:r>
          </w:p>
        </w:tc>
        <w:tc>
          <w:tcPr>
            <w:tcW w:w="1247" w:type="dxa"/>
            <w:vAlign w:val="center"/>
          </w:tcPr>
          <w:p w14:paraId="1720F10A">
            <w:pPr>
              <w:spacing w:line="280" w:lineRule="exact"/>
              <w:jc w:val="center"/>
              <w:rPr>
                <w:rFonts w:ascii="黑体" w:eastAsia="黑体"/>
                <w:sz w:val="24"/>
              </w:rPr>
            </w:pPr>
            <w:r>
              <w:rPr>
                <w:rFonts w:hint="eastAsia" w:ascii="黑体" w:eastAsia="黑体"/>
                <w:sz w:val="24"/>
              </w:rPr>
              <w:t>行业主管部门</w:t>
            </w:r>
          </w:p>
        </w:tc>
        <w:tc>
          <w:tcPr>
            <w:tcW w:w="1336" w:type="dxa"/>
            <w:vAlign w:val="center"/>
          </w:tcPr>
          <w:p w14:paraId="5519518B">
            <w:pPr>
              <w:spacing w:line="280" w:lineRule="exact"/>
              <w:jc w:val="center"/>
              <w:rPr>
                <w:rFonts w:ascii="黑体" w:eastAsia="黑体"/>
                <w:sz w:val="24"/>
              </w:rPr>
            </w:pPr>
            <w:r>
              <w:rPr>
                <w:rFonts w:hint="eastAsia" w:ascii="黑体" w:eastAsia="黑体"/>
                <w:sz w:val="24"/>
              </w:rPr>
              <w:t>备注</w:t>
            </w:r>
          </w:p>
        </w:tc>
      </w:tr>
      <w:tr w14:paraId="48085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5" w:hRule="atLeast"/>
          <w:jc w:val="center"/>
        </w:trPr>
        <w:tc>
          <w:tcPr>
            <w:tcW w:w="737" w:type="dxa"/>
            <w:vMerge w:val="restart"/>
            <w:vAlign w:val="center"/>
          </w:tcPr>
          <w:p w14:paraId="057C54EF">
            <w:pPr>
              <w:spacing w:line="320" w:lineRule="exact"/>
              <w:jc w:val="center"/>
              <w:rPr>
                <w:rFonts w:ascii="仿宋_GB2312" w:hAnsi="宋体" w:eastAsia="仿宋_GB2312"/>
                <w:szCs w:val="21"/>
              </w:rPr>
            </w:pPr>
            <w:r>
              <w:rPr>
                <w:rFonts w:hint="eastAsia" w:ascii="黑体" w:hAnsi="黑体" w:eastAsia="黑体" w:cs="黑体"/>
                <w:sz w:val="24"/>
              </w:rPr>
              <w:t>交通服务收费</w:t>
            </w:r>
          </w:p>
        </w:tc>
        <w:tc>
          <w:tcPr>
            <w:tcW w:w="1191" w:type="dxa"/>
            <w:vAlign w:val="center"/>
          </w:tcPr>
          <w:p w14:paraId="05BCF3C4">
            <w:pPr>
              <w:spacing w:line="240" w:lineRule="exact"/>
              <w:rPr>
                <w:rFonts w:ascii="仿宋_GB2312" w:hAnsi="宋体" w:eastAsia="仿宋_GB2312"/>
                <w:color w:val="000000"/>
                <w:szCs w:val="21"/>
                <w:lang w:val="zh-CN"/>
              </w:rPr>
            </w:pPr>
            <w:r>
              <w:rPr>
                <w:rFonts w:hint="eastAsia" w:ascii="仿宋_GB2312" w:hAnsi="宋体" w:eastAsia="仿宋_GB2312"/>
                <w:color w:val="000000"/>
                <w:szCs w:val="21"/>
              </w:rPr>
              <w:t>一</w:t>
            </w:r>
            <w:r>
              <w:rPr>
                <w:rFonts w:hint="eastAsia" w:ascii="仿宋_GB2312" w:hAnsi="宋体" w:eastAsia="仿宋_GB2312"/>
                <w:color w:val="000000"/>
                <w:szCs w:val="21"/>
                <w:lang w:val="zh-CN"/>
              </w:rPr>
              <w:t>、机动车停放服务收费</w:t>
            </w:r>
          </w:p>
        </w:tc>
        <w:tc>
          <w:tcPr>
            <w:tcW w:w="1304" w:type="dxa"/>
            <w:vAlign w:val="center"/>
          </w:tcPr>
          <w:p w14:paraId="3613368C">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lang w:val="zh-CN"/>
              </w:rPr>
              <w:t>（一）公共文化、交通、体育、医疗、教育等公共设施配套停车场（库、泊位），具有垄断经营特征停车场收费</w:t>
            </w:r>
          </w:p>
        </w:tc>
        <w:tc>
          <w:tcPr>
            <w:tcW w:w="4573" w:type="dxa"/>
            <w:vAlign w:val="center"/>
          </w:tcPr>
          <w:p w14:paraId="1310E3F4">
            <w:pPr>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具体收费标准见相关文件</w:t>
            </w:r>
          </w:p>
        </w:tc>
        <w:tc>
          <w:tcPr>
            <w:tcW w:w="2492" w:type="dxa"/>
            <w:vAlign w:val="center"/>
          </w:tcPr>
          <w:p w14:paraId="3EDEA27A">
            <w:pPr>
              <w:widowControl/>
              <w:snapToGrid w:val="0"/>
              <w:spacing w:line="300" w:lineRule="exact"/>
              <w:rPr>
                <w:rFonts w:ascii="仿宋_GB2312" w:eastAsia="仿宋_GB2312" w:cs="宋体"/>
                <w:snapToGrid w:val="0"/>
                <w:color w:val="000000"/>
                <w:kern w:val="0"/>
                <w:szCs w:val="21"/>
              </w:rPr>
            </w:pPr>
            <w:r>
              <w:rPr>
                <w:rFonts w:hint="eastAsia" w:ascii="仿宋_GB2312" w:eastAsia="仿宋_GB2312" w:cs="宋体"/>
                <w:snapToGrid w:val="0"/>
                <w:color w:val="000000"/>
                <w:kern w:val="0"/>
                <w:szCs w:val="21"/>
              </w:rPr>
              <w:t>省物价局皖价法〔2018〕17号；池价商[2016]52号池价商[2016]51号</w:t>
            </w:r>
          </w:p>
        </w:tc>
        <w:tc>
          <w:tcPr>
            <w:tcW w:w="1587" w:type="dxa"/>
            <w:vAlign w:val="center"/>
          </w:tcPr>
          <w:p w14:paraId="4277AB4F">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lang w:val="zh-CN"/>
              </w:rPr>
              <w:t>市</w:t>
            </w:r>
            <w:r>
              <w:rPr>
                <w:rFonts w:hint="eastAsia" w:ascii="仿宋_GB2312" w:eastAsia="仿宋_GB2312" w:cs="宋体"/>
                <w:snapToGrid w:val="0"/>
                <w:color w:val="000000"/>
                <w:kern w:val="0"/>
                <w:szCs w:val="21"/>
              </w:rPr>
              <w:t>发展改革委</w:t>
            </w:r>
          </w:p>
        </w:tc>
        <w:tc>
          <w:tcPr>
            <w:tcW w:w="1247" w:type="dxa"/>
            <w:vAlign w:val="center"/>
          </w:tcPr>
          <w:p w14:paraId="59472706">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发展规划处</w:t>
            </w:r>
          </w:p>
        </w:tc>
        <w:tc>
          <w:tcPr>
            <w:tcW w:w="1336" w:type="dxa"/>
            <w:vAlign w:val="center"/>
          </w:tcPr>
          <w:p w14:paraId="1C7E9E01">
            <w:pPr>
              <w:ind w:left="-105" w:leftChars="-50" w:right="-105" w:rightChars="-50"/>
              <w:rPr>
                <w:rFonts w:ascii="仿宋_GB2312" w:hAnsi="宋体" w:eastAsia="仿宋_GB2312"/>
                <w:color w:val="000000"/>
                <w:szCs w:val="21"/>
              </w:rPr>
            </w:pPr>
            <w:r>
              <w:rPr>
                <w:rFonts w:hint="eastAsia" w:ascii="仿宋_GB2312" w:hAnsi="宋体" w:eastAsia="仿宋_GB2312"/>
                <w:color w:val="000000"/>
                <w:szCs w:val="21"/>
              </w:rPr>
              <w:t xml:space="preserve"> </w:t>
            </w:r>
          </w:p>
        </w:tc>
      </w:tr>
      <w:tr w14:paraId="316DC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7" w:type="dxa"/>
            <w:vMerge w:val="continue"/>
            <w:vAlign w:val="center"/>
          </w:tcPr>
          <w:p w14:paraId="206E0370">
            <w:pPr>
              <w:spacing w:line="320" w:lineRule="exact"/>
              <w:jc w:val="center"/>
              <w:rPr>
                <w:rFonts w:hint="eastAsia" w:ascii="黑体" w:hAnsi="黑体" w:eastAsia="黑体" w:cs="黑体"/>
                <w:sz w:val="24"/>
              </w:rPr>
            </w:pPr>
          </w:p>
        </w:tc>
        <w:tc>
          <w:tcPr>
            <w:tcW w:w="1191" w:type="dxa"/>
            <w:vMerge w:val="restart"/>
            <w:vAlign w:val="center"/>
          </w:tcPr>
          <w:p w14:paraId="54771231">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二、索道收费</w:t>
            </w:r>
          </w:p>
        </w:tc>
        <w:tc>
          <w:tcPr>
            <w:tcW w:w="1304" w:type="dxa"/>
            <w:vAlign w:val="center"/>
          </w:tcPr>
          <w:p w14:paraId="50B5123A">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（一）天台索道</w:t>
            </w:r>
          </w:p>
        </w:tc>
        <w:tc>
          <w:tcPr>
            <w:tcW w:w="4573" w:type="dxa"/>
            <w:vAlign w:val="center"/>
          </w:tcPr>
          <w:p w14:paraId="6271EA17">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rPr>
              <w:t>具体收费标准见相关文件</w:t>
            </w:r>
          </w:p>
        </w:tc>
        <w:tc>
          <w:tcPr>
            <w:tcW w:w="2492" w:type="dxa"/>
            <w:vAlign w:val="center"/>
          </w:tcPr>
          <w:p w14:paraId="59B0420F">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皖价服函[2015]208号</w:t>
            </w:r>
          </w:p>
          <w:p w14:paraId="212E6EB2">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池价商[2015]146号</w:t>
            </w:r>
          </w:p>
        </w:tc>
        <w:tc>
          <w:tcPr>
            <w:tcW w:w="1587" w:type="dxa"/>
            <w:vAlign w:val="center"/>
          </w:tcPr>
          <w:p w14:paraId="17B236DB">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省发展改革委</w:t>
            </w:r>
          </w:p>
        </w:tc>
        <w:tc>
          <w:tcPr>
            <w:tcW w:w="1247" w:type="dxa"/>
            <w:vAlign w:val="center"/>
          </w:tcPr>
          <w:p w14:paraId="1109D942">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股份公司</w:t>
            </w:r>
          </w:p>
        </w:tc>
        <w:tc>
          <w:tcPr>
            <w:tcW w:w="1336" w:type="dxa"/>
            <w:vAlign w:val="center"/>
          </w:tcPr>
          <w:p w14:paraId="775F91B7">
            <w:pPr>
              <w:ind w:left="-105" w:leftChars="-50" w:right="-105" w:rightChars="-50"/>
              <w:rPr>
                <w:rFonts w:hint="eastAsia" w:ascii="仿宋_GB2312" w:hAnsi="宋体" w:eastAsia="仿宋_GB2312"/>
                <w:color w:val="000000"/>
                <w:szCs w:val="21"/>
              </w:rPr>
            </w:pPr>
          </w:p>
        </w:tc>
      </w:tr>
      <w:tr w14:paraId="38D4D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37" w:type="dxa"/>
            <w:vMerge w:val="continue"/>
            <w:vAlign w:val="center"/>
          </w:tcPr>
          <w:p w14:paraId="431593FB">
            <w:pPr>
              <w:spacing w:line="320" w:lineRule="exact"/>
              <w:jc w:val="center"/>
              <w:rPr>
                <w:rFonts w:hint="eastAsia" w:ascii="黑体" w:hAnsi="黑体" w:eastAsia="黑体" w:cs="黑体"/>
                <w:sz w:val="24"/>
              </w:rPr>
            </w:pPr>
          </w:p>
        </w:tc>
        <w:tc>
          <w:tcPr>
            <w:tcW w:w="1191" w:type="dxa"/>
            <w:vMerge w:val="continue"/>
            <w:vAlign w:val="center"/>
          </w:tcPr>
          <w:p w14:paraId="6B6E7B8D">
            <w:pPr>
              <w:spacing w:line="240" w:lineRule="exact"/>
              <w:rPr>
                <w:rFonts w:hint="eastAsia" w:ascii="仿宋_GB2312" w:hAnsi="宋体" w:eastAsia="仿宋_GB2312"/>
                <w:color w:val="000000"/>
                <w:szCs w:val="21"/>
              </w:rPr>
            </w:pPr>
          </w:p>
        </w:tc>
        <w:tc>
          <w:tcPr>
            <w:tcW w:w="1304" w:type="dxa"/>
            <w:vAlign w:val="center"/>
          </w:tcPr>
          <w:p w14:paraId="140E8F3C">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（二）花台索道</w:t>
            </w:r>
          </w:p>
        </w:tc>
        <w:tc>
          <w:tcPr>
            <w:tcW w:w="4573" w:type="dxa"/>
            <w:vAlign w:val="center"/>
          </w:tcPr>
          <w:p w14:paraId="43DDB48A">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rPr>
              <w:t>具体收费标准见相关文件</w:t>
            </w:r>
          </w:p>
        </w:tc>
        <w:tc>
          <w:tcPr>
            <w:tcW w:w="2492" w:type="dxa"/>
            <w:vAlign w:val="center"/>
          </w:tcPr>
          <w:p w14:paraId="5725B464">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皖发改价格函[202</w:t>
            </w:r>
            <w:r>
              <w:rPr>
                <w:rFonts w:hint="eastAsia" w:ascii="仿宋_GB2312" w:hAnsi="宋体" w:eastAsia="仿宋_GB2312"/>
                <w:color w:val="000000"/>
                <w:szCs w:val="21"/>
                <w:lang w:val="en-US" w:eastAsia="zh-CN"/>
              </w:rPr>
              <w:t>4</w:t>
            </w:r>
            <w:r>
              <w:rPr>
                <w:rFonts w:hint="eastAsia" w:ascii="仿宋_GB2312" w:hAnsi="宋体" w:eastAsia="仿宋_GB2312"/>
                <w:color w:val="000000"/>
                <w:szCs w:val="21"/>
                <w:lang w:val="zh-CN"/>
              </w:rPr>
              <w:t>]</w:t>
            </w:r>
            <w:r>
              <w:rPr>
                <w:rFonts w:hint="eastAsia" w:ascii="仿宋_GB2312" w:hAnsi="宋体" w:eastAsia="仿宋_GB2312"/>
                <w:color w:val="000000"/>
                <w:szCs w:val="21"/>
                <w:lang w:val="en-US" w:eastAsia="zh-CN"/>
              </w:rPr>
              <w:t>417</w:t>
            </w:r>
            <w:r>
              <w:rPr>
                <w:rFonts w:hint="eastAsia" w:ascii="仿宋_GB2312" w:hAnsi="宋体" w:eastAsia="仿宋_GB2312"/>
                <w:color w:val="000000"/>
                <w:szCs w:val="21"/>
                <w:lang w:val="zh-CN"/>
              </w:rPr>
              <w:t>号</w:t>
            </w:r>
          </w:p>
        </w:tc>
        <w:tc>
          <w:tcPr>
            <w:tcW w:w="1587" w:type="dxa"/>
            <w:vAlign w:val="center"/>
          </w:tcPr>
          <w:p w14:paraId="4B5253DE">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省发展改革委</w:t>
            </w:r>
          </w:p>
        </w:tc>
        <w:tc>
          <w:tcPr>
            <w:tcW w:w="1247" w:type="dxa"/>
            <w:vAlign w:val="center"/>
          </w:tcPr>
          <w:p w14:paraId="72339DD4">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股份公司</w:t>
            </w:r>
          </w:p>
        </w:tc>
        <w:tc>
          <w:tcPr>
            <w:tcW w:w="1336" w:type="dxa"/>
            <w:vAlign w:val="center"/>
          </w:tcPr>
          <w:p w14:paraId="3585BB75">
            <w:pPr>
              <w:ind w:left="-105" w:leftChars="-50" w:right="-105" w:rightChars="-50"/>
              <w:rPr>
                <w:rFonts w:hint="eastAsia" w:ascii="仿宋_GB2312" w:hAnsi="宋体" w:eastAsia="仿宋_GB2312"/>
                <w:color w:val="000000"/>
                <w:szCs w:val="21"/>
              </w:rPr>
            </w:pPr>
          </w:p>
        </w:tc>
      </w:tr>
      <w:tr w14:paraId="10F74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37" w:type="dxa"/>
            <w:vMerge w:val="continue"/>
            <w:vAlign w:val="center"/>
          </w:tcPr>
          <w:p w14:paraId="70BC52D9">
            <w:pPr>
              <w:spacing w:line="320" w:lineRule="exact"/>
              <w:jc w:val="center"/>
              <w:rPr>
                <w:rFonts w:hint="eastAsia" w:ascii="黑体" w:hAnsi="黑体" w:eastAsia="黑体" w:cs="黑体"/>
                <w:sz w:val="24"/>
              </w:rPr>
            </w:pPr>
          </w:p>
        </w:tc>
        <w:tc>
          <w:tcPr>
            <w:tcW w:w="1191" w:type="dxa"/>
            <w:vAlign w:val="center"/>
          </w:tcPr>
          <w:p w14:paraId="7FE0FB8C">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三、缆车收费</w:t>
            </w:r>
          </w:p>
        </w:tc>
        <w:tc>
          <w:tcPr>
            <w:tcW w:w="1304" w:type="dxa"/>
            <w:vAlign w:val="center"/>
          </w:tcPr>
          <w:p w14:paraId="2E516322">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百岁宫缆车</w:t>
            </w:r>
          </w:p>
        </w:tc>
        <w:tc>
          <w:tcPr>
            <w:tcW w:w="4573" w:type="dxa"/>
            <w:vAlign w:val="center"/>
          </w:tcPr>
          <w:p w14:paraId="3DBABD68">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rPr>
              <w:t>具体收费标准见相关文件</w:t>
            </w:r>
          </w:p>
        </w:tc>
        <w:tc>
          <w:tcPr>
            <w:tcW w:w="2492" w:type="dxa"/>
            <w:vAlign w:val="center"/>
          </w:tcPr>
          <w:p w14:paraId="1CA2CB02">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池价商[2014]93号</w:t>
            </w:r>
          </w:p>
        </w:tc>
        <w:tc>
          <w:tcPr>
            <w:tcW w:w="1587" w:type="dxa"/>
            <w:vAlign w:val="center"/>
          </w:tcPr>
          <w:p w14:paraId="5F322B47">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市发改委</w:t>
            </w:r>
          </w:p>
        </w:tc>
        <w:tc>
          <w:tcPr>
            <w:tcW w:w="1247" w:type="dxa"/>
            <w:vAlign w:val="center"/>
          </w:tcPr>
          <w:p w14:paraId="365D3C3F">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股份公司</w:t>
            </w:r>
          </w:p>
        </w:tc>
        <w:tc>
          <w:tcPr>
            <w:tcW w:w="1336" w:type="dxa"/>
            <w:vAlign w:val="center"/>
          </w:tcPr>
          <w:p w14:paraId="3B339C86">
            <w:pPr>
              <w:ind w:left="-105" w:leftChars="-50" w:right="-105" w:rightChars="-50"/>
              <w:rPr>
                <w:rFonts w:hint="eastAsia" w:ascii="仿宋_GB2312" w:hAnsi="宋体" w:eastAsia="仿宋_GB2312"/>
                <w:color w:val="000000"/>
                <w:szCs w:val="21"/>
              </w:rPr>
            </w:pPr>
          </w:p>
        </w:tc>
      </w:tr>
      <w:tr w14:paraId="11488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737" w:type="dxa"/>
            <w:vMerge w:val="continue"/>
            <w:vAlign w:val="center"/>
          </w:tcPr>
          <w:p w14:paraId="1DB82DEC">
            <w:pPr>
              <w:spacing w:line="320" w:lineRule="exact"/>
              <w:jc w:val="center"/>
              <w:rPr>
                <w:rFonts w:hint="eastAsia" w:ascii="黑体" w:hAnsi="黑体" w:eastAsia="黑体" w:cs="黑体"/>
                <w:sz w:val="24"/>
              </w:rPr>
            </w:pPr>
          </w:p>
        </w:tc>
        <w:tc>
          <w:tcPr>
            <w:tcW w:w="1191" w:type="dxa"/>
            <w:vAlign w:val="center"/>
          </w:tcPr>
          <w:p w14:paraId="2DAA06F4">
            <w:pPr>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四电瓶车收费</w:t>
            </w:r>
          </w:p>
        </w:tc>
        <w:tc>
          <w:tcPr>
            <w:tcW w:w="1304" w:type="dxa"/>
            <w:vAlign w:val="center"/>
          </w:tcPr>
          <w:p w14:paraId="7B083B07">
            <w:pPr>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大愿文化园循环电瓶车</w:t>
            </w:r>
          </w:p>
        </w:tc>
        <w:tc>
          <w:tcPr>
            <w:tcW w:w="4573" w:type="dxa"/>
            <w:vAlign w:val="center"/>
          </w:tcPr>
          <w:p w14:paraId="69D26792">
            <w:pPr>
              <w:spacing w:line="240" w:lineRule="exact"/>
              <w:rPr>
                <w:rFonts w:ascii="仿宋_GB2312" w:hAnsi="宋体" w:eastAsia="仿宋_GB2312"/>
                <w:color w:val="000000"/>
                <w:szCs w:val="21"/>
              </w:rPr>
            </w:pPr>
            <w:r>
              <w:rPr>
                <w:rFonts w:hint="eastAsia" w:ascii="仿宋_GB2312" w:hAnsi="宋体" w:eastAsia="仿宋_GB2312"/>
                <w:color w:val="000000"/>
                <w:szCs w:val="21"/>
              </w:rPr>
              <w:t>30元每人次</w:t>
            </w:r>
          </w:p>
        </w:tc>
        <w:tc>
          <w:tcPr>
            <w:tcW w:w="2492" w:type="dxa"/>
            <w:vAlign w:val="center"/>
          </w:tcPr>
          <w:p w14:paraId="677E43BC">
            <w:pPr>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池发改商价【2018】163号</w:t>
            </w:r>
          </w:p>
        </w:tc>
        <w:tc>
          <w:tcPr>
            <w:tcW w:w="1587" w:type="dxa"/>
            <w:vAlign w:val="center"/>
          </w:tcPr>
          <w:p w14:paraId="6619C4B6">
            <w:pPr>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市发改委</w:t>
            </w:r>
          </w:p>
        </w:tc>
        <w:tc>
          <w:tcPr>
            <w:tcW w:w="1247" w:type="dxa"/>
            <w:vAlign w:val="center"/>
          </w:tcPr>
          <w:p w14:paraId="146AE345">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文旅集团</w:t>
            </w:r>
          </w:p>
        </w:tc>
        <w:tc>
          <w:tcPr>
            <w:tcW w:w="1336" w:type="dxa"/>
            <w:vAlign w:val="center"/>
          </w:tcPr>
          <w:p w14:paraId="79E692CD">
            <w:pPr>
              <w:ind w:left="-105" w:leftChars="-50" w:right="-105" w:rightChars="-50"/>
              <w:rPr>
                <w:rFonts w:hint="eastAsia" w:ascii="仿宋_GB2312" w:hAnsi="宋体" w:eastAsia="仿宋_GB2312"/>
                <w:color w:val="000000"/>
                <w:szCs w:val="21"/>
              </w:rPr>
            </w:pPr>
          </w:p>
        </w:tc>
      </w:tr>
      <w:tr w14:paraId="21CA9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737" w:type="dxa"/>
            <w:vMerge w:val="continue"/>
            <w:vAlign w:val="center"/>
          </w:tcPr>
          <w:p w14:paraId="7CD28C50">
            <w:pPr>
              <w:widowControl/>
              <w:snapToGrid w:val="0"/>
              <w:spacing w:line="300" w:lineRule="exact"/>
              <w:jc w:val="center"/>
              <w:rPr>
                <w:rFonts w:ascii="仿宋_GB2312" w:eastAsia="仿宋_GB2312" w:cs="宋体"/>
                <w:snapToGrid w:val="0"/>
                <w:kern w:val="0"/>
                <w:szCs w:val="21"/>
              </w:rPr>
            </w:pPr>
          </w:p>
        </w:tc>
        <w:tc>
          <w:tcPr>
            <w:tcW w:w="1191" w:type="dxa"/>
            <w:vMerge w:val="restart"/>
            <w:vAlign w:val="center"/>
          </w:tcPr>
          <w:p w14:paraId="1C155C1E">
            <w:pPr>
              <w:spacing w:line="240" w:lineRule="exact"/>
              <w:rPr>
                <w:rFonts w:ascii="仿宋_GB2312" w:hAnsi="宋体" w:eastAsia="仿宋_GB2312"/>
                <w:color w:val="000000"/>
                <w:szCs w:val="21"/>
              </w:rPr>
            </w:pPr>
            <w:r>
              <w:rPr>
                <w:rFonts w:hint="eastAsia" w:ascii="仿宋_GB2312" w:hAnsi="宋体" w:eastAsia="仿宋_GB2312"/>
                <w:color w:val="000000"/>
                <w:szCs w:val="21"/>
              </w:rPr>
              <w:t>五、</w:t>
            </w:r>
            <w:r>
              <w:rPr>
                <w:rFonts w:hint="eastAsia" w:ascii="仿宋_GB2312" w:hAnsi="宋体" w:eastAsia="仿宋_GB2312"/>
                <w:color w:val="000000"/>
                <w:szCs w:val="21"/>
                <w:lang w:val="zh-CN"/>
              </w:rPr>
              <w:t>汽车客运站服务收费</w:t>
            </w:r>
          </w:p>
        </w:tc>
        <w:tc>
          <w:tcPr>
            <w:tcW w:w="1304" w:type="dxa"/>
            <w:vAlign w:val="center"/>
          </w:tcPr>
          <w:p w14:paraId="7ABC3475">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（一）车辆站务基本服务收费</w:t>
            </w:r>
          </w:p>
        </w:tc>
        <w:tc>
          <w:tcPr>
            <w:tcW w:w="4573" w:type="dxa"/>
            <w:vAlign w:val="center"/>
          </w:tcPr>
          <w:p w14:paraId="177D154C">
            <w:pPr>
              <w:spacing w:line="240" w:lineRule="exact"/>
              <w:rPr>
                <w:rFonts w:ascii="仿宋_GB2312" w:hAnsi="宋体" w:eastAsia="仿宋_GB2312"/>
                <w:color w:val="FF0000"/>
                <w:szCs w:val="21"/>
              </w:rPr>
            </w:pPr>
            <w:r>
              <w:rPr>
                <w:rFonts w:hint="eastAsia" w:ascii="仿宋_GB2312" w:hAnsi="宋体" w:eastAsia="仿宋_GB2312"/>
                <w:color w:val="000000"/>
                <w:szCs w:val="21"/>
              </w:rPr>
              <w:t>具体收费标准见相关文件</w:t>
            </w:r>
          </w:p>
        </w:tc>
        <w:tc>
          <w:tcPr>
            <w:tcW w:w="2492" w:type="dxa"/>
            <w:vAlign w:val="center"/>
          </w:tcPr>
          <w:p w14:paraId="3F62108C">
            <w:pPr>
              <w:widowControl/>
              <w:snapToGrid w:val="0"/>
              <w:spacing w:line="300" w:lineRule="exact"/>
              <w:rPr>
                <w:rFonts w:ascii="仿宋_GB2312" w:eastAsia="仿宋_GB2312" w:cs="宋体"/>
                <w:snapToGrid w:val="0"/>
                <w:color w:val="000000" w:themeColor="text1"/>
                <w:kern w:val="0"/>
                <w:szCs w:val="21"/>
                <w14:textFill>
                  <w14:solidFill>
                    <w14:schemeClr w14:val="tx1"/>
                  </w14:solidFill>
                </w14:textFill>
              </w:rPr>
            </w:pPr>
            <w:r>
              <w:rPr>
                <w:rFonts w:hint="eastAsia" w:ascii="仿宋_GB2312" w:eastAsia="仿宋_GB2312" w:cs="宋体"/>
                <w:snapToGrid w:val="0"/>
                <w:color w:val="000000" w:themeColor="text1"/>
                <w:kern w:val="0"/>
                <w:szCs w:val="21"/>
                <w14:textFill>
                  <w14:solidFill>
                    <w14:schemeClr w14:val="tx1"/>
                  </w14:solidFill>
                </w14:textFill>
              </w:rPr>
              <w:t>省物价局皖价法〔2018〕17号；市发改委（市物价局）、市交通运输局池价费〔2016〕87号</w:t>
            </w:r>
          </w:p>
        </w:tc>
        <w:tc>
          <w:tcPr>
            <w:tcW w:w="1587" w:type="dxa"/>
            <w:vAlign w:val="center"/>
          </w:tcPr>
          <w:p w14:paraId="64F65976">
            <w:pPr>
              <w:widowControl/>
              <w:snapToGrid w:val="0"/>
              <w:spacing w:line="300" w:lineRule="exact"/>
              <w:rPr>
                <w:rFonts w:ascii="仿宋_GB2312" w:eastAsia="仿宋_GB2312" w:cs="宋体"/>
                <w:snapToGrid w:val="0"/>
                <w:color w:val="FF0000"/>
                <w:kern w:val="0"/>
                <w:szCs w:val="21"/>
              </w:rPr>
            </w:pPr>
            <w:r>
              <w:rPr>
                <w:rFonts w:hint="eastAsia" w:ascii="仿宋_GB2312" w:eastAsia="仿宋_GB2312" w:cs="宋体"/>
                <w:snapToGrid w:val="0"/>
                <w:kern w:val="0"/>
                <w:szCs w:val="21"/>
              </w:rPr>
              <w:t>市发展改革委、市交通运输局</w:t>
            </w:r>
          </w:p>
        </w:tc>
        <w:tc>
          <w:tcPr>
            <w:tcW w:w="1247" w:type="dxa"/>
            <w:vAlign w:val="center"/>
          </w:tcPr>
          <w:p w14:paraId="094DE1E3">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九华山</w:t>
            </w:r>
            <w:r>
              <w:rPr>
                <w:rFonts w:hint="eastAsia" w:ascii="仿宋_GB2312" w:eastAsia="仿宋_GB2312" w:cs="宋体"/>
                <w:snapToGrid w:val="0"/>
                <w:kern w:val="0"/>
                <w:szCs w:val="21"/>
                <w:lang w:val="zh-CN"/>
              </w:rPr>
              <w:t>交通运输</w:t>
            </w:r>
            <w:r>
              <w:rPr>
                <w:rFonts w:hint="eastAsia" w:ascii="仿宋_GB2312" w:eastAsia="仿宋_GB2312" w:cs="宋体"/>
                <w:snapToGrid w:val="0"/>
                <w:kern w:val="0"/>
                <w:szCs w:val="21"/>
              </w:rPr>
              <w:t>局</w:t>
            </w:r>
          </w:p>
        </w:tc>
        <w:tc>
          <w:tcPr>
            <w:tcW w:w="1336" w:type="dxa"/>
            <w:vAlign w:val="center"/>
          </w:tcPr>
          <w:p w14:paraId="079826B8">
            <w:pPr>
              <w:widowControl/>
              <w:snapToGrid w:val="0"/>
              <w:spacing w:line="300" w:lineRule="exact"/>
              <w:jc w:val="left"/>
              <w:rPr>
                <w:rFonts w:ascii="仿宋_GB2312" w:eastAsia="仿宋_GB2312" w:cs="宋体"/>
                <w:snapToGrid w:val="0"/>
                <w:kern w:val="0"/>
                <w:szCs w:val="21"/>
              </w:rPr>
            </w:pPr>
          </w:p>
        </w:tc>
      </w:tr>
      <w:tr w14:paraId="6963A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737" w:type="dxa"/>
            <w:vMerge w:val="continue"/>
            <w:vAlign w:val="center"/>
          </w:tcPr>
          <w:p w14:paraId="75996791">
            <w:pPr>
              <w:widowControl/>
              <w:snapToGrid w:val="0"/>
              <w:spacing w:line="300" w:lineRule="exact"/>
              <w:jc w:val="left"/>
            </w:pPr>
          </w:p>
        </w:tc>
        <w:tc>
          <w:tcPr>
            <w:tcW w:w="1191" w:type="dxa"/>
            <w:vMerge w:val="continue"/>
            <w:vAlign w:val="center"/>
          </w:tcPr>
          <w:p w14:paraId="7E278812">
            <w:pPr>
              <w:spacing w:line="240" w:lineRule="exact"/>
              <w:rPr>
                <w:rFonts w:ascii="仿宋_GB2312" w:hAnsi="宋体" w:eastAsia="仿宋_GB2312"/>
                <w:color w:val="000000"/>
                <w:szCs w:val="21"/>
                <w:lang w:val="zh-CN"/>
              </w:rPr>
            </w:pPr>
          </w:p>
        </w:tc>
        <w:tc>
          <w:tcPr>
            <w:tcW w:w="1304" w:type="dxa"/>
            <w:vAlign w:val="center"/>
          </w:tcPr>
          <w:p w14:paraId="45E51567">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（二）旅客基本服务收费</w:t>
            </w:r>
          </w:p>
        </w:tc>
        <w:tc>
          <w:tcPr>
            <w:tcW w:w="4573" w:type="dxa"/>
            <w:vAlign w:val="center"/>
          </w:tcPr>
          <w:p w14:paraId="0937BFD6">
            <w:pPr>
              <w:spacing w:line="240" w:lineRule="exact"/>
              <w:rPr>
                <w:rFonts w:ascii="仿宋_GB2312" w:hAnsi="宋体" w:eastAsia="仿宋_GB2312"/>
                <w:color w:val="FF0000"/>
                <w:szCs w:val="21"/>
              </w:rPr>
            </w:pPr>
            <w:r>
              <w:rPr>
                <w:rFonts w:hint="eastAsia" w:ascii="仿宋_GB2312" w:hAnsi="宋体" w:eastAsia="仿宋_GB2312"/>
                <w:color w:val="000000"/>
                <w:szCs w:val="21"/>
              </w:rPr>
              <w:t>具体收费标准见相关文件</w:t>
            </w:r>
          </w:p>
        </w:tc>
        <w:tc>
          <w:tcPr>
            <w:tcW w:w="2492" w:type="dxa"/>
            <w:vAlign w:val="center"/>
          </w:tcPr>
          <w:p w14:paraId="28C71186">
            <w:pPr>
              <w:widowControl/>
              <w:snapToGrid w:val="0"/>
              <w:spacing w:line="300" w:lineRule="exact"/>
              <w:rPr>
                <w:rFonts w:ascii="仿宋_GB2312" w:eastAsia="仿宋_GB2312" w:cs="宋体"/>
                <w:snapToGrid w:val="0"/>
                <w:color w:val="000000" w:themeColor="text1"/>
                <w:kern w:val="0"/>
                <w:szCs w:val="21"/>
                <w14:textFill>
                  <w14:solidFill>
                    <w14:schemeClr w14:val="tx1"/>
                  </w14:solidFill>
                </w14:textFill>
              </w:rPr>
            </w:pPr>
            <w:r>
              <w:rPr>
                <w:rFonts w:hint="eastAsia" w:ascii="仿宋_GB2312" w:eastAsia="仿宋_GB2312" w:cs="宋体"/>
                <w:snapToGrid w:val="0"/>
                <w:color w:val="000000" w:themeColor="text1"/>
                <w:kern w:val="0"/>
                <w:szCs w:val="21"/>
                <w14:textFill>
                  <w14:solidFill>
                    <w14:schemeClr w14:val="tx1"/>
                  </w14:solidFill>
                </w14:textFill>
              </w:rPr>
              <w:t>省物价局皖价法〔2018〕17号；市发改委（市物价局）、市交通运输局池价费〔2016〕87号</w:t>
            </w:r>
          </w:p>
        </w:tc>
        <w:tc>
          <w:tcPr>
            <w:tcW w:w="1587" w:type="dxa"/>
            <w:vAlign w:val="center"/>
          </w:tcPr>
          <w:p w14:paraId="09038DD0">
            <w:pPr>
              <w:widowControl/>
              <w:snapToGrid w:val="0"/>
              <w:spacing w:line="300" w:lineRule="exact"/>
              <w:rPr>
                <w:rFonts w:ascii="仿宋_GB2312" w:eastAsia="仿宋_GB2312" w:cs="宋体"/>
                <w:snapToGrid w:val="0"/>
                <w:color w:val="FF0000"/>
                <w:kern w:val="0"/>
                <w:szCs w:val="21"/>
              </w:rPr>
            </w:pPr>
            <w:r>
              <w:rPr>
                <w:rFonts w:hint="eastAsia" w:ascii="仿宋_GB2312" w:eastAsia="仿宋_GB2312" w:cs="宋体"/>
                <w:snapToGrid w:val="0"/>
                <w:kern w:val="0"/>
                <w:szCs w:val="21"/>
              </w:rPr>
              <w:t>市发展改革委、市交通运输局</w:t>
            </w:r>
          </w:p>
        </w:tc>
        <w:tc>
          <w:tcPr>
            <w:tcW w:w="1247" w:type="dxa"/>
            <w:vAlign w:val="center"/>
          </w:tcPr>
          <w:p w14:paraId="7BD1483D">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九华山</w:t>
            </w:r>
            <w:r>
              <w:rPr>
                <w:rFonts w:hint="eastAsia" w:ascii="仿宋_GB2312" w:eastAsia="仿宋_GB2312" w:cs="宋体"/>
                <w:snapToGrid w:val="0"/>
                <w:kern w:val="0"/>
                <w:szCs w:val="21"/>
                <w:lang w:val="zh-CN"/>
              </w:rPr>
              <w:t>交通运输</w:t>
            </w:r>
            <w:r>
              <w:rPr>
                <w:rFonts w:hint="eastAsia" w:ascii="仿宋_GB2312" w:eastAsia="仿宋_GB2312" w:cs="宋体"/>
                <w:snapToGrid w:val="0"/>
                <w:kern w:val="0"/>
                <w:szCs w:val="21"/>
              </w:rPr>
              <w:t>局</w:t>
            </w:r>
          </w:p>
        </w:tc>
        <w:tc>
          <w:tcPr>
            <w:tcW w:w="1336" w:type="dxa"/>
            <w:vAlign w:val="center"/>
          </w:tcPr>
          <w:p w14:paraId="290EE218">
            <w:pPr>
              <w:widowControl/>
              <w:snapToGrid w:val="0"/>
              <w:spacing w:line="300" w:lineRule="exact"/>
              <w:jc w:val="left"/>
              <w:rPr>
                <w:rFonts w:ascii="仿宋_GB2312" w:eastAsia="仿宋_GB2312" w:cs="宋体"/>
                <w:snapToGrid w:val="0"/>
                <w:kern w:val="0"/>
                <w:szCs w:val="21"/>
              </w:rPr>
            </w:pPr>
          </w:p>
        </w:tc>
      </w:tr>
      <w:tr w14:paraId="7B4FC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5" w:hRule="atLeast"/>
          <w:jc w:val="center"/>
        </w:trPr>
        <w:tc>
          <w:tcPr>
            <w:tcW w:w="737" w:type="dxa"/>
            <w:vAlign w:val="center"/>
          </w:tcPr>
          <w:p w14:paraId="21A59B77">
            <w:pPr>
              <w:spacing w:line="320" w:lineRule="exact"/>
            </w:pPr>
            <w:r>
              <w:rPr>
                <w:rFonts w:hint="eastAsia" w:ascii="黑体" w:hAnsi="黑体" w:eastAsia="黑体" w:cs="黑体"/>
                <w:sz w:val="24"/>
              </w:rPr>
              <w:t>其他特定服务收费</w:t>
            </w:r>
          </w:p>
        </w:tc>
        <w:tc>
          <w:tcPr>
            <w:tcW w:w="1191" w:type="dxa"/>
            <w:vAlign w:val="center"/>
          </w:tcPr>
          <w:p w14:paraId="66CE1370">
            <w:pPr>
              <w:spacing w:line="240" w:lineRule="exact"/>
              <w:rPr>
                <w:rFonts w:ascii="仿宋_GB2312" w:hAnsi="宋体" w:eastAsia="仿宋_GB2312"/>
                <w:color w:val="000000"/>
                <w:szCs w:val="21"/>
              </w:rPr>
            </w:pPr>
            <w:r>
              <w:rPr>
                <w:rFonts w:hint="eastAsia" w:ascii="仿宋_GB2312" w:hAnsi="宋体" w:eastAsia="仿宋_GB2312"/>
                <w:color w:val="000000"/>
                <w:szCs w:val="21"/>
                <w:lang w:val="zh-CN"/>
              </w:rPr>
              <w:t>危险废物处置费</w:t>
            </w:r>
          </w:p>
        </w:tc>
        <w:tc>
          <w:tcPr>
            <w:tcW w:w="1304" w:type="dxa"/>
            <w:vAlign w:val="center"/>
          </w:tcPr>
          <w:p w14:paraId="16407CD1">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医疗废物处置费</w:t>
            </w:r>
          </w:p>
          <w:p w14:paraId="0D0B949F">
            <w:pPr>
              <w:widowControl/>
              <w:snapToGrid w:val="0"/>
              <w:spacing w:line="300" w:lineRule="exact"/>
              <w:jc w:val="left"/>
              <w:rPr>
                <w:rFonts w:ascii="仿宋_GB2312" w:eastAsia="仿宋_GB2312" w:cs="宋体"/>
                <w:snapToGrid w:val="0"/>
                <w:color w:val="FF0000"/>
                <w:kern w:val="0"/>
                <w:szCs w:val="21"/>
              </w:rPr>
            </w:pPr>
            <w:r>
              <w:rPr>
                <w:rFonts w:hint="eastAsia" w:ascii="仿宋_GB2312" w:eastAsia="仿宋_GB2312" w:cs="宋体"/>
                <w:snapToGrid w:val="0"/>
                <w:color w:val="FF0000"/>
                <w:kern w:val="0"/>
                <w:szCs w:val="21"/>
              </w:rPr>
              <w:t xml:space="preserve"> </w:t>
            </w:r>
          </w:p>
        </w:tc>
        <w:tc>
          <w:tcPr>
            <w:tcW w:w="4573" w:type="dxa"/>
            <w:vAlign w:val="center"/>
          </w:tcPr>
          <w:p w14:paraId="2E49F949">
            <w:pPr>
              <w:spacing w:line="240" w:lineRule="exact"/>
              <w:rPr>
                <w:rFonts w:ascii="仿宋_GB2312" w:hAnsi="宋体" w:eastAsia="仿宋_GB2312"/>
                <w:color w:val="FF0000"/>
                <w:szCs w:val="21"/>
              </w:rPr>
            </w:pPr>
            <w:r>
              <w:rPr>
                <w:rFonts w:hint="eastAsia" w:ascii="仿宋_GB2312" w:hAnsi="宋体" w:eastAsia="仿宋_GB2312"/>
                <w:color w:val="000000"/>
                <w:szCs w:val="21"/>
              </w:rPr>
              <w:t>具体收费标准见相关文件</w:t>
            </w:r>
          </w:p>
        </w:tc>
        <w:tc>
          <w:tcPr>
            <w:tcW w:w="2492" w:type="dxa"/>
            <w:vAlign w:val="center"/>
          </w:tcPr>
          <w:p w14:paraId="602CA2FB">
            <w:pPr>
              <w:widowControl/>
              <w:snapToGrid w:val="0"/>
              <w:spacing w:line="300" w:lineRule="exact"/>
              <w:rPr>
                <w:rFonts w:ascii="仿宋_GB2312" w:eastAsia="仿宋_GB2312" w:cs="宋体"/>
                <w:snapToGrid w:val="0"/>
                <w:color w:val="FF0000"/>
                <w:kern w:val="0"/>
                <w:szCs w:val="21"/>
              </w:rPr>
            </w:pPr>
            <w:r>
              <w:rPr>
                <w:rFonts w:hint="eastAsia" w:ascii="仿宋_GB2312" w:eastAsia="仿宋_GB2312" w:cs="宋体"/>
                <w:snapToGrid w:val="0"/>
                <w:color w:val="000000" w:themeColor="text1"/>
                <w:kern w:val="0"/>
                <w:szCs w:val="21"/>
                <w14:textFill>
                  <w14:solidFill>
                    <w14:schemeClr w14:val="tx1"/>
                  </w14:solidFill>
                </w14:textFill>
              </w:rPr>
              <w:t>省物价局</w:t>
            </w:r>
            <w:r>
              <w:rPr>
                <w:rFonts w:ascii="仿宋_GB2312" w:eastAsia="仿宋_GB2312" w:cs="宋体"/>
                <w:snapToGrid w:val="0"/>
                <w:color w:val="000000" w:themeColor="text1"/>
                <w:kern w:val="0"/>
                <w:szCs w:val="21"/>
                <w14:textFill>
                  <w14:solidFill>
                    <w14:schemeClr w14:val="tx1"/>
                  </w14:solidFill>
                </w14:textFill>
              </w:rPr>
              <w:t>皖价法〔2018〕17号</w:t>
            </w:r>
            <w:r>
              <w:rPr>
                <w:rFonts w:hint="eastAsia" w:ascii="仿宋_GB2312" w:eastAsia="仿宋_GB2312" w:cs="宋体"/>
                <w:snapToGrid w:val="0"/>
                <w:color w:val="000000" w:themeColor="text1"/>
                <w:kern w:val="0"/>
                <w:szCs w:val="21"/>
                <w14:textFill>
                  <w14:solidFill>
                    <w14:schemeClr w14:val="tx1"/>
                  </w14:solidFill>
                </w14:textFill>
              </w:rPr>
              <w:t>；市发展改革委</w:t>
            </w:r>
            <w:r>
              <w:rPr>
                <w:rFonts w:hint="eastAsia" w:ascii="仿宋_GB2312" w:eastAsia="仿宋_GB2312" w:cs="宋体"/>
                <w:snapToGrid w:val="0"/>
                <w:kern w:val="0"/>
                <w:szCs w:val="21"/>
              </w:rPr>
              <w:t>、市生态环境局、市卫生健康委池</w:t>
            </w:r>
            <w:r>
              <w:rPr>
                <w:rFonts w:hint="eastAsia" w:ascii="仿宋_GB2312" w:eastAsia="仿宋_GB2312" w:cs="宋体"/>
                <w:snapToGrid w:val="0"/>
                <w:color w:val="000000"/>
                <w:kern w:val="0"/>
                <w:szCs w:val="21"/>
              </w:rPr>
              <w:t>发改价格〔2020〕482号、</w:t>
            </w:r>
            <w:r>
              <w:rPr>
                <w:rFonts w:hint="eastAsia" w:ascii="仿宋_GB2312" w:eastAsia="仿宋_GB2312" w:cs="宋体"/>
                <w:snapToGrid w:val="0"/>
                <w:kern w:val="0"/>
                <w:szCs w:val="21"/>
              </w:rPr>
              <w:t>池</w:t>
            </w:r>
            <w:r>
              <w:rPr>
                <w:rFonts w:hint="eastAsia" w:ascii="仿宋_GB2312" w:eastAsia="仿宋_GB2312" w:cs="宋体"/>
                <w:snapToGrid w:val="0"/>
                <w:color w:val="000000"/>
                <w:kern w:val="0"/>
                <w:szCs w:val="21"/>
              </w:rPr>
              <w:t>发改价格〔2022〕252号</w:t>
            </w:r>
          </w:p>
        </w:tc>
        <w:tc>
          <w:tcPr>
            <w:tcW w:w="1587" w:type="dxa"/>
            <w:vAlign w:val="center"/>
          </w:tcPr>
          <w:p w14:paraId="47EB139B">
            <w:pPr>
              <w:widowControl/>
              <w:snapToGrid w:val="0"/>
              <w:spacing w:line="300" w:lineRule="exact"/>
              <w:rPr>
                <w:rFonts w:ascii="仿宋_GB2312" w:eastAsia="仿宋_GB2312" w:cs="宋体"/>
                <w:snapToGrid w:val="0"/>
                <w:color w:val="FF0000"/>
                <w:kern w:val="0"/>
                <w:szCs w:val="21"/>
              </w:rPr>
            </w:pPr>
            <w:r>
              <w:rPr>
                <w:rFonts w:hint="eastAsia" w:ascii="仿宋_GB2312" w:eastAsia="仿宋_GB2312" w:cs="宋体"/>
                <w:snapToGrid w:val="0"/>
                <w:kern w:val="0"/>
                <w:szCs w:val="21"/>
              </w:rPr>
              <w:t>市发展改革委、市生态环境局、市卫生健康委</w:t>
            </w:r>
          </w:p>
        </w:tc>
        <w:tc>
          <w:tcPr>
            <w:tcW w:w="1247" w:type="dxa"/>
            <w:vAlign w:val="center"/>
          </w:tcPr>
          <w:p w14:paraId="3F6BFAF4">
            <w:pPr>
              <w:widowControl/>
              <w:snapToGrid w:val="0"/>
              <w:spacing w:line="300" w:lineRule="exact"/>
              <w:rPr>
                <w:rFonts w:ascii="仿宋_GB2312" w:eastAsia="仿宋_GB2312" w:cs="宋体"/>
                <w:snapToGrid w:val="0"/>
                <w:kern w:val="0"/>
                <w:szCs w:val="21"/>
              </w:rPr>
            </w:pPr>
            <w:r>
              <w:rPr>
                <w:rFonts w:hint="eastAsia" w:ascii="仿宋_GB2312" w:eastAsia="仿宋_GB2312" w:cs="宋体"/>
                <w:snapToGrid w:val="0"/>
                <w:kern w:val="0"/>
                <w:szCs w:val="21"/>
              </w:rPr>
              <w:t>环境资源保护处</w:t>
            </w:r>
          </w:p>
        </w:tc>
        <w:tc>
          <w:tcPr>
            <w:tcW w:w="1336" w:type="dxa"/>
            <w:vAlign w:val="center"/>
          </w:tcPr>
          <w:p w14:paraId="0E9E2E58">
            <w:pPr>
              <w:spacing w:line="320" w:lineRule="exact"/>
              <w:rPr>
                <w:rFonts w:ascii="仿宋_GB2312" w:eastAsia="仿宋_GB2312"/>
                <w:szCs w:val="21"/>
              </w:rPr>
            </w:pPr>
          </w:p>
        </w:tc>
      </w:tr>
      <w:tr w14:paraId="30249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jc w:val="center"/>
        </w:trPr>
        <w:tc>
          <w:tcPr>
            <w:tcW w:w="737" w:type="dxa"/>
            <w:vAlign w:val="center"/>
          </w:tcPr>
          <w:p w14:paraId="3616F950">
            <w:pPr>
              <w:spacing w:line="320" w:lineRule="exact"/>
              <w:rPr>
                <w:rFonts w:ascii="黑体" w:hAnsi="黑体" w:eastAsia="黑体" w:cs="黑体"/>
                <w:sz w:val="24"/>
              </w:rPr>
            </w:pPr>
            <w:r>
              <w:rPr>
                <w:rFonts w:hint="eastAsia" w:ascii="黑体" w:hAnsi="黑体" w:eastAsia="黑体" w:cs="黑体"/>
                <w:sz w:val="24"/>
              </w:rPr>
              <w:t>公用事业服务收费</w:t>
            </w:r>
          </w:p>
        </w:tc>
        <w:tc>
          <w:tcPr>
            <w:tcW w:w="1191" w:type="dxa"/>
            <w:vAlign w:val="center"/>
          </w:tcPr>
          <w:p w14:paraId="0E9CF2AD">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有线数字电视基本收视维护费</w:t>
            </w:r>
          </w:p>
        </w:tc>
        <w:tc>
          <w:tcPr>
            <w:tcW w:w="1304" w:type="dxa"/>
            <w:vAlign w:val="center"/>
          </w:tcPr>
          <w:p w14:paraId="2CB83FD9">
            <w:pPr>
              <w:widowControl/>
              <w:spacing w:line="240" w:lineRule="exact"/>
              <w:rPr>
                <w:rFonts w:ascii="仿宋_GB2312" w:hAnsi="宋体" w:eastAsia="仿宋_GB2312"/>
                <w:color w:val="000000"/>
                <w:szCs w:val="21"/>
                <w:lang w:val="zh-CN"/>
              </w:rPr>
            </w:pPr>
          </w:p>
        </w:tc>
        <w:tc>
          <w:tcPr>
            <w:tcW w:w="4573" w:type="dxa"/>
            <w:vAlign w:val="center"/>
          </w:tcPr>
          <w:p w14:paraId="16E42AEE">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主终端省辖市每月每卡24元，县（市）每月每卡23元；副终端每月每卡均为3元。</w:t>
            </w:r>
          </w:p>
        </w:tc>
        <w:tc>
          <w:tcPr>
            <w:tcW w:w="2492" w:type="dxa"/>
            <w:vAlign w:val="center"/>
          </w:tcPr>
          <w:p w14:paraId="05A349BD">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省物价局皖价法〔2018〕17号、皖价服〔2011〕212号</w:t>
            </w:r>
          </w:p>
        </w:tc>
        <w:tc>
          <w:tcPr>
            <w:tcW w:w="1587" w:type="dxa"/>
            <w:vAlign w:val="center"/>
          </w:tcPr>
          <w:p w14:paraId="235C75CC">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省发展改革委</w:t>
            </w:r>
          </w:p>
        </w:tc>
        <w:tc>
          <w:tcPr>
            <w:tcW w:w="1247" w:type="dxa"/>
            <w:vAlign w:val="center"/>
          </w:tcPr>
          <w:p w14:paraId="51C13813">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广电部门</w:t>
            </w:r>
          </w:p>
        </w:tc>
        <w:tc>
          <w:tcPr>
            <w:tcW w:w="1336" w:type="dxa"/>
            <w:vAlign w:val="center"/>
          </w:tcPr>
          <w:p w14:paraId="2B2B181B">
            <w:pPr>
              <w:widowControl/>
              <w:snapToGrid w:val="0"/>
              <w:spacing w:line="300" w:lineRule="exact"/>
              <w:jc w:val="left"/>
              <w:rPr>
                <w:rFonts w:ascii="仿宋_GB2312" w:eastAsia="仿宋_GB2312" w:cs="宋体"/>
                <w:snapToGrid w:val="0"/>
                <w:kern w:val="0"/>
                <w:szCs w:val="21"/>
              </w:rPr>
            </w:pPr>
          </w:p>
        </w:tc>
      </w:tr>
      <w:tr w14:paraId="5FA33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8" w:hRule="atLeast"/>
          <w:jc w:val="center"/>
        </w:trPr>
        <w:tc>
          <w:tcPr>
            <w:tcW w:w="737" w:type="dxa"/>
            <w:vAlign w:val="center"/>
          </w:tcPr>
          <w:p w14:paraId="5C945FCF">
            <w:pPr>
              <w:spacing w:line="320" w:lineRule="exact"/>
              <w:rPr>
                <w:rFonts w:ascii="黑体" w:hAnsi="黑体" w:eastAsia="黑体" w:cs="黑体"/>
                <w:sz w:val="24"/>
              </w:rPr>
            </w:pPr>
            <w:r>
              <w:rPr>
                <w:rFonts w:hint="eastAsia" w:ascii="黑体" w:hAnsi="黑体" w:eastAsia="黑体" w:cs="黑体"/>
                <w:sz w:val="24"/>
              </w:rPr>
              <w:t>景区门票收费</w:t>
            </w:r>
          </w:p>
        </w:tc>
        <w:tc>
          <w:tcPr>
            <w:tcW w:w="1191" w:type="dxa"/>
            <w:vAlign w:val="center"/>
          </w:tcPr>
          <w:p w14:paraId="529617C5">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大愿文化园景区</w:t>
            </w:r>
          </w:p>
        </w:tc>
        <w:tc>
          <w:tcPr>
            <w:tcW w:w="1304" w:type="dxa"/>
            <w:vAlign w:val="center"/>
          </w:tcPr>
          <w:p w14:paraId="4E51B646">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弘愿堂门票</w:t>
            </w:r>
          </w:p>
        </w:tc>
        <w:tc>
          <w:tcPr>
            <w:tcW w:w="4573" w:type="dxa"/>
            <w:vAlign w:val="center"/>
          </w:tcPr>
          <w:p w14:paraId="1770498B">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60元每人次</w:t>
            </w:r>
          </w:p>
        </w:tc>
        <w:tc>
          <w:tcPr>
            <w:tcW w:w="2492" w:type="dxa"/>
            <w:vAlign w:val="center"/>
          </w:tcPr>
          <w:p w14:paraId="333E7EE0">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池发改价格【2020】23号</w:t>
            </w:r>
          </w:p>
        </w:tc>
        <w:tc>
          <w:tcPr>
            <w:tcW w:w="1587" w:type="dxa"/>
            <w:vAlign w:val="center"/>
          </w:tcPr>
          <w:p w14:paraId="1CD29752">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市发改委</w:t>
            </w:r>
          </w:p>
        </w:tc>
        <w:tc>
          <w:tcPr>
            <w:tcW w:w="1247" w:type="dxa"/>
            <w:vAlign w:val="center"/>
          </w:tcPr>
          <w:p w14:paraId="10AF16BA">
            <w:pPr>
              <w:widowControl/>
              <w:spacing w:line="240" w:lineRule="exact"/>
              <w:rPr>
                <w:rFonts w:ascii="仿宋_GB2312" w:hAnsi="宋体" w:eastAsia="仿宋_GB2312"/>
                <w:color w:val="000000"/>
                <w:szCs w:val="21"/>
                <w:lang w:val="zh-CN"/>
              </w:rPr>
            </w:pPr>
            <w:r>
              <w:rPr>
                <w:rFonts w:hint="eastAsia" w:ascii="仿宋_GB2312" w:hAnsi="宋体" w:eastAsia="仿宋_GB2312"/>
                <w:color w:val="000000"/>
                <w:szCs w:val="21"/>
                <w:lang w:val="zh-CN"/>
              </w:rPr>
              <w:t>文旅集团</w:t>
            </w:r>
          </w:p>
        </w:tc>
        <w:tc>
          <w:tcPr>
            <w:tcW w:w="1336" w:type="dxa"/>
            <w:vAlign w:val="center"/>
          </w:tcPr>
          <w:p w14:paraId="010B29CB">
            <w:pPr>
              <w:widowControl/>
              <w:snapToGrid w:val="0"/>
              <w:spacing w:line="300" w:lineRule="exact"/>
              <w:jc w:val="left"/>
              <w:rPr>
                <w:rFonts w:ascii="仿宋_GB2312" w:eastAsia="仿宋_GB2312" w:cs="宋体"/>
                <w:snapToGrid w:val="0"/>
                <w:kern w:val="0"/>
                <w:szCs w:val="21"/>
              </w:rPr>
            </w:pPr>
          </w:p>
        </w:tc>
      </w:tr>
    </w:tbl>
    <w:p w14:paraId="1F3E1F32">
      <w:pPr>
        <w:jc w:val="center"/>
        <w:outlineLvl w:val="0"/>
        <w:rPr>
          <w:rFonts w:ascii="黑体" w:eastAsia="黑体"/>
          <w:sz w:val="30"/>
          <w:szCs w:val="30"/>
        </w:rPr>
      </w:pPr>
      <w:r>
        <w:rPr>
          <w:rFonts w:hint="eastAsia" w:ascii="黑体" w:eastAsia="黑体"/>
          <w:sz w:val="30"/>
          <w:szCs w:val="30"/>
        </w:rPr>
        <w:t>四、涉企保证金</w:t>
      </w:r>
    </w:p>
    <w:p w14:paraId="7D2EF320">
      <w:pPr>
        <w:spacing w:line="40" w:lineRule="exact"/>
      </w:pPr>
    </w:p>
    <w:p w14:paraId="2B92EBBE">
      <w:pPr>
        <w:spacing w:line="40" w:lineRule="exact"/>
      </w:pPr>
    </w:p>
    <w:p w14:paraId="3D367448">
      <w:pPr>
        <w:spacing w:line="40" w:lineRule="exact"/>
      </w:pPr>
    </w:p>
    <w:p w14:paraId="56FCC5FF">
      <w:pPr>
        <w:spacing w:line="40" w:lineRule="exact"/>
      </w:pPr>
    </w:p>
    <w:p w14:paraId="2622CC00">
      <w:pPr>
        <w:spacing w:line="40" w:lineRule="exact"/>
      </w:pP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75"/>
        <w:gridCol w:w="1309"/>
        <w:gridCol w:w="1776"/>
        <w:gridCol w:w="935"/>
        <w:gridCol w:w="1566"/>
        <w:gridCol w:w="1496"/>
        <w:gridCol w:w="1496"/>
        <w:gridCol w:w="1309"/>
        <w:gridCol w:w="2777"/>
        <w:gridCol w:w="2063"/>
      </w:tblGrid>
      <w:tr w14:paraId="53F552E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475" w:type="dxa"/>
            <w:tcBorders>
              <w:top w:val="single" w:color="auto" w:sz="4" w:space="0"/>
              <w:left w:val="single" w:color="auto" w:sz="4" w:space="0"/>
              <w:bottom w:val="single" w:color="auto" w:sz="6" w:space="0"/>
              <w:right w:val="single" w:color="auto" w:sz="6" w:space="0"/>
            </w:tcBorders>
            <w:tcMar>
              <w:left w:w="57" w:type="dxa"/>
              <w:right w:w="57" w:type="dxa"/>
            </w:tcMar>
            <w:vAlign w:val="center"/>
          </w:tcPr>
          <w:p w14:paraId="72FC56E4">
            <w:pPr>
              <w:widowControl/>
              <w:snapToGrid w:val="0"/>
              <w:spacing w:line="340" w:lineRule="exact"/>
              <w:jc w:val="center"/>
              <w:rPr>
                <w:rFonts w:eastAsia="方正黑体_GBK"/>
                <w:bCs/>
                <w:snapToGrid w:val="0"/>
                <w:color w:val="000000"/>
                <w:kern w:val="0"/>
                <w:szCs w:val="21"/>
              </w:rPr>
            </w:pPr>
            <w:r>
              <w:rPr>
                <w:rFonts w:eastAsia="方正黑体_GBK"/>
                <w:bCs/>
                <w:snapToGrid w:val="0"/>
                <w:color w:val="000000"/>
                <w:kern w:val="0"/>
                <w:szCs w:val="21"/>
              </w:rPr>
              <w:t>序号</w:t>
            </w:r>
          </w:p>
        </w:tc>
        <w:tc>
          <w:tcPr>
            <w:tcW w:w="1309" w:type="dxa"/>
            <w:tcBorders>
              <w:top w:val="single" w:color="auto" w:sz="4" w:space="0"/>
              <w:left w:val="single" w:color="auto" w:sz="6" w:space="0"/>
              <w:bottom w:val="single" w:color="auto" w:sz="6" w:space="0"/>
              <w:right w:val="single" w:color="auto" w:sz="6" w:space="0"/>
            </w:tcBorders>
            <w:tcMar>
              <w:left w:w="57" w:type="dxa"/>
              <w:right w:w="57" w:type="dxa"/>
            </w:tcMar>
            <w:vAlign w:val="center"/>
          </w:tcPr>
          <w:p w14:paraId="412CF5B5">
            <w:pPr>
              <w:widowControl/>
              <w:snapToGrid w:val="0"/>
              <w:spacing w:line="340" w:lineRule="exact"/>
              <w:jc w:val="center"/>
              <w:rPr>
                <w:rFonts w:eastAsia="方正黑体_GBK"/>
                <w:bCs/>
                <w:snapToGrid w:val="0"/>
                <w:color w:val="000000"/>
                <w:kern w:val="0"/>
                <w:szCs w:val="21"/>
              </w:rPr>
            </w:pPr>
            <w:r>
              <w:rPr>
                <w:rFonts w:eastAsia="方正黑体_GBK"/>
                <w:bCs/>
                <w:snapToGrid w:val="0"/>
                <w:color w:val="000000"/>
                <w:kern w:val="0"/>
                <w:szCs w:val="21"/>
              </w:rPr>
              <w:t>收取项目</w:t>
            </w:r>
          </w:p>
        </w:tc>
        <w:tc>
          <w:tcPr>
            <w:tcW w:w="1776" w:type="dxa"/>
            <w:tcBorders>
              <w:top w:val="single" w:color="auto" w:sz="4" w:space="0"/>
              <w:left w:val="single" w:color="auto" w:sz="6" w:space="0"/>
              <w:bottom w:val="single" w:color="auto" w:sz="6" w:space="0"/>
              <w:right w:val="single" w:color="auto" w:sz="6" w:space="0"/>
            </w:tcBorders>
            <w:tcMar>
              <w:left w:w="57" w:type="dxa"/>
              <w:right w:w="57" w:type="dxa"/>
            </w:tcMar>
            <w:vAlign w:val="center"/>
          </w:tcPr>
          <w:p w14:paraId="13876264">
            <w:pPr>
              <w:widowControl/>
              <w:snapToGrid w:val="0"/>
              <w:spacing w:line="340" w:lineRule="exact"/>
              <w:jc w:val="center"/>
              <w:rPr>
                <w:rFonts w:eastAsia="方正黑体_GBK"/>
                <w:bCs/>
                <w:snapToGrid w:val="0"/>
                <w:color w:val="000000"/>
                <w:kern w:val="0"/>
                <w:szCs w:val="21"/>
              </w:rPr>
            </w:pPr>
            <w:r>
              <w:rPr>
                <w:rFonts w:eastAsia="方正黑体_GBK"/>
                <w:bCs/>
                <w:snapToGrid w:val="0"/>
                <w:color w:val="000000"/>
                <w:kern w:val="0"/>
                <w:szCs w:val="21"/>
              </w:rPr>
              <w:t>收取依据</w:t>
            </w:r>
          </w:p>
        </w:tc>
        <w:tc>
          <w:tcPr>
            <w:tcW w:w="935" w:type="dxa"/>
            <w:tcBorders>
              <w:top w:val="single" w:color="auto" w:sz="4" w:space="0"/>
              <w:left w:val="single" w:color="auto" w:sz="6" w:space="0"/>
              <w:bottom w:val="single" w:color="auto" w:sz="6" w:space="0"/>
              <w:right w:val="single" w:color="auto" w:sz="6" w:space="0"/>
            </w:tcBorders>
            <w:tcMar>
              <w:left w:w="57" w:type="dxa"/>
              <w:right w:w="57" w:type="dxa"/>
            </w:tcMar>
            <w:vAlign w:val="center"/>
          </w:tcPr>
          <w:p w14:paraId="0BF236B4">
            <w:pPr>
              <w:widowControl/>
              <w:snapToGrid w:val="0"/>
              <w:spacing w:line="340" w:lineRule="exact"/>
              <w:jc w:val="center"/>
              <w:rPr>
                <w:rFonts w:eastAsia="方正黑体_GBK"/>
                <w:bCs/>
                <w:snapToGrid w:val="0"/>
                <w:color w:val="000000"/>
                <w:kern w:val="0"/>
                <w:szCs w:val="21"/>
              </w:rPr>
            </w:pPr>
            <w:r>
              <w:rPr>
                <w:rFonts w:eastAsia="方正黑体_GBK"/>
                <w:bCs/>
                <w:snapToGrid w:val="0"/>
                <w:color w:val="000000"/>
                <w:kern w:val="0"/>
                <w:szCs w:val="21"/>
              </w:rPr>
              <w:t>收取范围对象</w:t>
            </w:r>
          </w:p>
        </w:tc>
        <w:tc>
          <w:tcPr>
            <w:tcW w:w="1566" w:type="dxa"/>
            <w:tcBorders>
              <w:top w:val="single" w:color="auto" w:sz="4" w:space="0"/>
              <w:left w:val="single" w:color="auto" w:sz="6" w:space="0"/>
              <w:bottom w:val="single" w:color="auto" w:sz="6" w:space="0"/>
              <w:right w:val="single" w:color="auto" w:sz="6" w:space="0"/>
            </w:tcBorders>
            <w:tcMar>
              <w:left w:w="57" w:type="dxa"/>
              <w:right w:w="57" w:type="dxa"/>
            </w:tcMar>
            <w:vAlign w:val="center"/>
          </w:tcPr>
          <w:p w14:paraId="3CED7D34">
            <w:pPr>
              <w:widowControl/>
              <w:snapToGrid w:val="0"/>
              <w:spacing w:line="340" w:lineRule="exact"/>
              <w:jc w:val="center"/>
              <w:rPr>
                <w:rFonts w:eastAsia="方正黑体_GBK"/>
                <w:bCs/>
                <w:snapToGrid w:val="0"/>
                <w:color w:val="000000"/>
                <w:kern w:val="0"/>
                <w:szCs w:val="21"/>
              </w:rPr>
            </w:pPr>
            <w:r>
              <w:rPr>
                <w:rFonts w:eastAsia="方正黑体_GBK"/>
                <w:bCs/>
                <w:snapToGrid w:val="0"/>
                <w:color w:val="000000"/>
                <w:kern w:val="0"/>
                <w:szCs w:val="21"/>
              </w:rPr>
              <w:t>收取标准</w:t>
            </w:r>
          </w:p>
        </w:tc>
        <w:tc>
          <w:tcPr>
            <w:tcW w:w="1496" w:type="dxa"/>
            <w:tcBorders>
              <w:top w:val="single" w:color="auto" w:sz="4" w:space="0"/>
              <w:left w:val="single" w:color="auto" w:sz="6" w:space="0"/>
              <w:bottom w:val="single" w:color="auto" w:sz="6" w:space="0"/>
              <w:right w:val="single" w:color="auto" w:sz="6" w:space="0"/>
            </w:tcBorders>
          </w:tcPr>
          <w:p w14:paraId="5904B9E2">
            <w:pPr>
              <w:widowControl/>
              <w:snapToGrid w:val="0"/>
              <w:spacing w:line="340" w:lineRule="exact"/>
              <w:jc w:val="center"/>
              <w:rPr>
                <w:rFonts w:eastAsia="方正黑体_GBK"/>
                <w:bCs/>
                <w:snapToGrid w:val="0"/>
                <w:color w:val="000000"/>
                <w:kern w:val="0"/>
                <w:szCs w:val="21"/>
              </w:rPr>
            </w:pPr>
            <w:r>
              <w:rPr>
                <w:rFonts w:eastAsia="方正黑体_GBK"/>
                <w:bCs/>
                <w:snapToGrid w:val="0"/>
                <w:color w:val="000000"/>
                <w:kern w:val="0"/>
                <w:szCs w:val="21"/>
              </w:rPr>
              <w:t>征收</w:t>
            </w:r>
          </w:p>
          <w:p w14:paraId="1B01728C">
            <w:pPr>
              <w:widowControl/>
              <w:snapToGrid w:val="0"/>
              <w:spacing w:line="340" w:lineRule="exact"/>
              <w:jc w:val="center"/>
              <w:rPr>
                <w:rFonts w:eastAsia="方正黑体_GBK"/>
                <w:bCs/>
                <w:snapToGrid w:val="0"/>
                <w:color w:val="000000"/>
                <w:kern w:val="0"/>
                <w:szCs w:val="21"/>
              </w:rPr>
            </w:pPr>
            <w:r>
              <w:rPr>
                <w:rFonts w:eastAsia="方正黑体_GBK"/>
                <w:bCs/>
                <w:snapToGrid w:val="0"/>
                <w:color w:val="000000"/>
                <w:kern w:val="0"/>
                <w:szCs w:val="21"/>
              </w:rPr>
              <w:t>程序</w:t>
            </w:r>
          </w:p>
        </w:tc>
        <w:tc>
          <w:tcPr>
            <w:tcW w:w="1496" w:type="dxa"/>
            <w:tcBorders>
              <w:top w:val="single" w:color="auto" w:sz="4" w:space="0"/>
              <w:left w:val="single" w:color="auto" w:sz="6" w:space="0"/>
              <w:bottom w:val="single" w:color="auto" w:sz="6" w:space="0"/>
              <w:right w:val="single" w:color="auto" w:sz="6" w:space="0"/>
            </w:tcBorders>
          </w:tcPr>
          <w:p w14:paraId="32819E2C">
            <w:pPr>
              <w:widowControl/>
              <w:snapToGrid w:val="0"/>
              <w:spacing w:line="340" w:lineRule="exact"/>
              <w:jc w:val="center"/>
              <w:rPr>
                <w:rFonts w:eastAsia="方正黑体_GBK"/>
                <w:bCs/>
                <w:snapToGrid w:val="0"/>
                <w:color w:val="000000"/>
                <w:kern w:val="0"/>
                <w:szCs w:val="21"/>
              </w:rPr>
            </w:pPr>
            <w:r>
              <w:rPr>
                <w:rFonts w:eastAsia="方正黑体_GBK"/>
                <w:bCs/>
                <w:snapToGrid w:val="0"/>
                <w:color w:val="000000"/>
                <w:kern w:val="0"/>
                <w:szCs w:val="21"/>
              </w:rPr>
              <w:t>返还</w:t>
            </w:r>
          </w:p>
          <w:p w14:paraId="29A36066">
            <w:pPr>
              <w:widowControl/>
              <w:snapToGrid w:val="0"/>
              <w:spacing w:line="340" w:lineRule="exact"/>
              <w:jc w:val="center"/>
              <w:rPr>
                <w:rFonts w:eastAsia="方正黑体_GBK"/>
                <w:bCs/>
                <w:snapToGrid w:val="0"/>
                <w:color w:val="000000"/>
                <w:kern w:val="0"/>
                <w:szCs w:val="21"/>
              </w:rPr>
            </w:pPr>
            <w:r>
              <w:rPr>
                <w:rFonts w:eastAsia="方正黑体_GBK"/>
                <w:bCs/>
                <w:snapToGrid w:val="0"/>
                <w:color w:val="000000"/>
                <w:kern w:val="0"/>
                <w:szCs w:val="21"/>
              </w:rPr>
              <w:t>时间</w:t>
            </w:r>
          </w:p>
        </w:tc>
        <w:tc>
          <w:tcPr>
            <w:tcW w:w="1309" w:type="dxa"/>
            <w:tcBorders>
              <w:top w:val="single" w:color="auto" w:sz="4" w:space="0"/>
              <w:left w:val="single" w:color="auto" w:sz="6" w:space="0"/>
              <w:bottom w:val="single" w:color="auto" w:sz="6" w:space="0"/>
              <w:right w:val="single" w:color="auto" w:sz="6" w:space="0"/>
            </w:tcBorders>
            <w:tcMar>
              <w:left w:w="57" w:type="dxa"/>
              <w:right w:w="57" w:type="dxa"/>
            </w:tcMar>
            <w:vAlign w:val="center"/>
          </w:tcPr>
          <w:p w14:paraId="6A1361F0">
            <w:pPr>
              <w:widowControl/>
              <w:snapToGrid w:val="0"/>
              <w:spacing w:line="340" w:lineRule="exact"/>
              <w:jc w:val="center"/>
              <w:rPr>
                <w:rFonts w:eastAsia="方正黑体_GBK"/>
                <w:bCs/>
                <w:snapToGrid w:val="0"/>
                <w:color w:val="000000"/>
                <w:kern w:val="0"/>
                <w:szCs w:val="21"/>
              </w:rPr>
            </w:pPr>
            <w:r>
              <w:rPr>
                <w:rFonts w:eastAsia="方正黑体_GBK"/>
                <w:bCs/>
                <w:snapToGrid w:val="0"/>
                <w:color w:val="000000"/>
                <w:kern w:val="0"/>
                <w:szCs w:val="21"/>
              </w:rPr>
              <w:t>执收单位</w:t>
            </w:r>
          </w:p>
        </w:tc>
        <w:tc>
          <w:tcPr>
            <w:tcW w:w="2777" w:type="dxa"/>
            <w:tcBorders>
              <w:top w:val="single" w:color="auto" w:sz="4" w:space="0"/>
              <w:left w:val="single" w:color="auto" w:sz="6" w:space="0"/>
              <w:bottom w:val="single" w:color="auto" w:sz="6" w:space="0"/>
              <w:right w:val="single" w:color="auto" w:sz="6" w:space="0"/>
            </w:tcBorders>
            <w:tcMar>
              <w:left w:w="57" w:type="dxa"/>
              <w:right w:w="57" w:type="dxa"/>
            </w:tcMar>
            <w:vAlign w:val="center"/>
          </w:tcPr>
          <w:p w14:paraId="6E6AA309">
            <w:pPr>
              <w:widowControl/>
              <w:snapToGrid w:val="0"/>
              <w:spacing w:line="340" w:lineRule="exact"/>
              <w:jc w:val="center"/>
              <w:rPr>
                <w:rFonts w:eastAsia="方正黑体_GBK"/>
                <w:bCs/>
                <w:snapToGrid w:val="0"/>
                <w:color w:val="000000"/>
                <w:kern w:val="0"/>
                <w:szCs w:val="21"/>
              </w:rPr>
            </w:pPr>
            <w:r>
              <w:rPr>
                <w:rFonts w:eastAsia="方正黑体_GBK"/>
                <w:bCs/>
                <w:snapToGrid w:val="0"/>
                <w:color w:val="000000"/>
                <w:kern w:val="0"/>
                <w:szCs w:val="21"/>
              </w:rPr>
              <w:t>责任事项</w:t>
            </w:r>
          </w:p>
        </w:tc>
        <w:tc>
          <w:tcPr>
            <w:tcW w:w="2063" w:type="dxa"/>
            <w:tcBorders>
              <w:top w:val="single" w:color="auto" w:sz="4" w:space="0"/>
              <w:left w:val="single" w:color="auto" w:sz="6" w:space="0"/>
              <w:bottom w:val="single" w:color="auto" w:sz="6" w:space="0"/>
              <w:right w:val="single" w:color="auto" w:sz="4" w:space="0"/>
            </w:tcBorders>
            <w:tcMar>
              <w:left w:w="57" w:type="dxa"/>
              <w:right w:w="57" w:type="dxa"/>
            </w:tcMar>
            <w:vAlign w:val="center"/>
          </w:tcPr>
          <w:p w14:paraId="3D8355D9">
            <w:pPr>
              <w:widowControl/>
              <w:snapToGrid w:val="0"/>
              <w:spacing w:line="340" w:lineRule="exact"/>
              <w:jc w:val="center"/>
              <w:rPr>
                <w:rFonts w:eastAsia="方正黑体_GBK"/>
                <w:bCs/>
                <w:snapToGrid w:val="0"/>
                <w:color w:val="000000"/>
                <w:kern w:val="0"/>
                <w:szCs w:val="21"/>
              </w:rPr>
            </w:pPr>
            <w:r>
              <w:rPr>
                <w:rFonts w:eastAsia="方正黑体_GBK"/>
                <w:bCs/>
                <w:snapToGrid w:val="0"/>
                <w:color w:val="000000"/>
                <w:kern w:val="0"/>
                <w:szCs w:val="21"/>
              </w:rPr>
              <w:t>追责情形</w:t>
            </w:r>
          </w:p>
        </w:tc>
      </w:tr>
      <w:tr w14:paraId="4DD550A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307" w:hRule="atLeast"/>
          <w:jc w:val="center"/>
        </w:trPr>
        <w:tc>
          <w:tcPr>
            <w:tcW w:w="475" w:type="dxa"/>
            <w:tcBorders>
              <w:top w:val="single" w:color="auto" w:sz="6" w:space="0"/>
              <w:left w:val="single" w:color="auto" w:sz="4" w:space="0"/>
              <w:bottom w:val="single" w:color="auto" w:sz="6" w:space="0"/>
              <w:right w:val="single" w:color="auto" w:sz="6" w:space="0"/>
            </w:tcBorders>
            <w:tcMar>
              <w:left w:w="57" w:type="dxa"/>
              <w:right w:w="57" w:type="dxa"/>
            </w:tcMar>
            <w:vAlign w:val="center"/>
          </w:tcPr>
          <w:p w14:paraId="4F0D68E8">
            <w:pPr>
              <w:spacing w:line="340" w:lineRule="exact"/>
              <w:jc w:val="center"/>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1</w:t>
            </w:r>
          </w:p>
        </w:tc>
        <w:tc>
          <w:tcPr>
            <w:tcW w:w="1309"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475A707B">
            <w:pPr>
              <w:spacing w:line="340" w:lineRule="exact"/>
              <w:jc w:val="lef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投标保证金</w:t>
            </w:r>
          </w:p>
        </w:tc>
        <w:tc>
          <w:tcPr>
            <w:tcW w:w="1776"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27915901">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《中华人民共和国招标投标法》《中华人民共和国招标投标实施条例》</w:t>
            </w:r>
          </w:p>
        </w:tc>
        <w:tc>
          <w:tcPr>
            <w:tcW w:w="935"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0E078782">
            <w:pPr>
              <w:spacing w:line="340" w:lineRule="exact"/>
              <w:jc w:val="center"/>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投标人</w:t>
            </w:r>
          </w:p>
        </w:tc>
        <w:tc>
          <w:tcPr>
            <w:tcW w:w="1566"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4CF926D1">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不得超过招标项目估算价的2%，其中2020年12月1日后招标的政府投资房屋建筑和市政基础设施工程缴存金额最高不得超过50万元。</w:t>
            </w:r>
          </w:p>
        </w:tc>
        <w:tc>
          <w:tcPr>
            <w:tcW w:w="1496" w:type="dxa"/>
            <w:tcBorders>
              <w:top w:val="single" w:color="auto" w:sz="6" w:space="0"/>
              <w:left w:val="single" w:color="auto" w:sz="6" w:space="0"/>
              <w:bottom w:val="single" w:color="auto" w:sz="6" w:space="0"/>
              <w:right w:val="single" w:color="auto" w:sz="6" w:space="0"/>
            </w:tcBorders>
            <w:vAlign w:val="center"/>
          </w:tcPr>
          <w:p w14:paraId="7080F0AE">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根据招标文件具体要求执行。</w:t>
            </w:r>
          </w:p>
        </w:tc>
        <w:tc>
          <w:tcPr>
            <w:tcW w:w="1496" w:type="dxa"/>
            <w:tcBorders>
              <w:top w:val="single" w:color="auto" w:sz="6" w:space="0"/>
              <w:left w:val="single" w:color="auto" w:sz="6" w:space="0"/>
              <w:bottom w:val="single" w:color="auto" w:sz="6" w:space="0"/>
              <w:right w:val="single" w:color="auto" w:sz="6" w:space="0"/>
            </w:tcBorders>
            <w:vAlign w:val="center"/>
          </w:tcPr>
          <w:p w14:paraId="3642993F">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招标人最迟应当在书面合同签订后5日内向中标人和未中标的投标人退还保证金及银行同期存款利息。</w:t>
            </w:r>
          </w:p>
        </w:tc>
        <w:tc>
          <w:tcPr>
            <w:tcW w:w="1309"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3CF1957C">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依法提出招标项目、进行招标的有关部门或单位。</w:t>
            </w:r>
          </w:p>
        </w:tc>
        <w:tc>
          <w:tcPr>
            <w:tcW w:w="2777"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761EC7CC">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一、执收单位责任:</w:t>
            </w:r>
          </w:p>
          <w:p w14:paraId="7A808E6B">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1、要求投标人提交投标保证金的，应当在招标文件中载明；</w:t>
            </w:r>
          </w:p>
          <w:p w14:paraId="1F19FF7E">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2、不得超过招标项目估算价的2%收取；</w:t>
            </w:r>
          </w:p>
          <w:p w14:paraId="0C043B7B">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3、不得挪用投标保证金；</w:t>
            </w:r>
          </w:p>
          <w:p w14:paraId="1F3D9913">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4、应按规定返还保证金及银行同期利息（法律法规规定不予退还投标保证金的除外）。</w:t>
            </w:r>
          </w:p>
          <w:p w14:paraId="7A8686DE">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二、有关监管部门责任：</w:t>
            </w:r>
          </w:p>
          <w:p w14:paraId="6EBDD692">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1、制定完善管理制度，规范管理程序；</w:t>
            </w:r>
          </w:p>
          <w:p w14:paraId="65CC72E2">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2、创新管理方式，加强事中事后监管，依法依规减少企业资金占用。</w:t>
            </w:r>
          </w:p>
          <w:p w14:paraId="69951F5D">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3、其</w:t>
            </w:r>
            <w:r>
              <w:rPr>
                <w:rFonts w:hint="eastAsia" w:ascii="仿宋_GB2312" w:hAnsi="仿宋_GB2312" w:eastAsia="仿宋_GB2312" w:cs="仿宋_GB2312"/>
                <w:snapToGrid w:val="0"/>
                <w:color w:val="000000"/>
                <w:spacing w:val="-6"/>
                <w:kern w:val="0"/>
                <w:szCs w:val="21"/>
                <w:shd w:val="clear" w:color="auto" w:fill="FFFFFF"/>
              </w:rPr>
              <w:t>他依据法律法规和有关规定应当承担的责任事项。</w:t>
            </w:r>
          </w:p>
        </w:tc>
        <w:tc>
          <w:tcPr>
            <w:tcW w:w="2063" w:type="dxa"/>
            <w:tcBorders>
              <w:top w:val="single" w:color="auto" w:sz="6" w:space="0"/>
              <w:left w:val="single" w:color="auto" w:sz="6" w:space="0"/>
              <w:bottom w:val="single" w:color="auto" w:sz="6" w:space="0"/>
              <w:right w:val="single" w:color="auto" w:sz="4" w:space="0"/>
            </w:tcBorders>
            <w:tcMar>
              <w:left w:w="57" w:type="dxa"/>
              <w:right w:w="57" w:type="dxa"/>
            </w:tcMar>
            <w:vAlign w:val="center"/>
          </w:tcPr>
          <w:p w14:paraId="054FA769">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一、执收单位超过《条例》规定的比例收取投标保证金或者不按照规定退还投标保证金及银行同期存款利息的或者挪用保证金的，由有关监督管理部门严肃查处，责令改正。</w:t>
            </w:r>
          </w:p>
          <w:p w14:paraId="537073FA">
            <w:pPr>
              <w:spacing w:line="340" w:lineRule="exact"/>
              <w:rPr>
                <w:rFonts w:ascii="仿宋_GB2312" w:hAnsi="仿宋_GB2312" w:eastAsia="仿宋_GB2312" w:cs="仿宋_GB2312"/>
                <w:color w:val="000000"/>
                <w:szCs w:val="21"/>
              </w:rPr>
            </w:pPr>
            <w:r>
              <w:rPr>
                <w:rFonts w:hint="eastAsia" w:ascii="仿宋_GB2312" w:hAnsi="仿宋_GB2312" w:eastAsia="仿宋_GB2312" w:cs="仿宋_GB2312"/>
                <w:snapToGrid w:val="0"/>
                <w:color w:val="000000"/>
                <w:kern w:val="0"/>
                <w:szCs w:val="21"/>
                <w:shd w:val="clear" w:color="auto" w:fill="FFFFFF"/>
              </w:rPr>
              <w:t>二、有关监管部门及其有关工作人员不履行或不正确履行职责的，由有关部门依法追究责任。</w:t>
            </w:r>
          </w:p>
        </w:tc>
      </w:tr>
    </w:tbl>
    <w:p w14:paraId="303BAE87">
      <w:pPr>
        <w:spacing w:line="40" w:lineRule="exact"/>
      </w:pPr>
    </w:p>
    <w:p w14:paraId="46ED10A9">
      <w:pPr>
        <w:spacing w:line="40" w:lineRule="exact"/>
      </w:pPr>
    </w:p>
    <w:p w14:paraId="546E164E">
      <w:pPr>
        <w:spacing w:line="40" w:lineRule="exact"/>
      </w:pPr>
    </w:p>
    <w:p w14:paraId="3C5DCA52">
      <w:pPr>
        <w:spacing w:line="40" w:lineRule="exact"/>
      </w:pPr>
    </w:p>
    <w:p w14:paraId="6AE2821D">
      <w:pPr>
        <w:spacing w:line="40" w:lineRule="exact"/>
      </w:pPr>
    </w:p>
    <w:p w14:paraId="709793F9">
      <w:pPr>
        <w:spacing w:line="40" w:lineRule="exact"/>
      </w:pPr>
    </w:p>
    <w:p w14:paraId="62B9542D">
      <w:pPr>
        <w:spacing w:line="40" w:lineRule="exact"/>
      </w:pPr>
    </w:p>
    <w:p w14:paraId="08004D73">
      <w:pPr>
        <w:spacing w:line="40" w:lineRule="exact"/>
      </w:pP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75"/>
        <w:gridCol w:w="1309"/>
        <w:gridCol w:w="1776"/>
        <w:gridCol w:w="935"/>
        <w:gridCol w:w="1566"/>
        <w:gridCol w:w="1496"/>
        <w:gridCol w:w="1496"/>
        <w:gridCol w:w="1309"/>
        <w:gridCol w:w="2777"/>
        <w:gridCol w:w="2063"/>
      </w:tblGrid>
      <w:tr w14:paraId="0F4CDF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73" w:hRule="atLeast"/>
          <w:jc w:val="center"/>
        </w:trPr>
        <w:tc>
          <w:tcPr>
            <w:tcW w:w="475" w:type="dxa"/>
            <w:tcBorders>
              <w:top w:val="single" w:color="auto" w:sz="6" w:space="0"/>
              <w:left w:val="single" w:color="auto" w:sz="4" w:space="0"/>
              <w:bottom w:val="single" w:color="auto" w:sz="6" w:space="0"/>
              <w:right w:val="single" w:color="auto" w:sz="6" w:space="0"/>
            </w:tcBorders>
            <w:tcMar>
              <w:left w:w="57" w:type="dxa"/>
              <w:right w:w="57" w:type="dxa"/>
            </w:tcMar>
            <w:vAlign w:val="center"/>
          </w:tcPr>
          <w:p w14:paraId="16D7D47C">
            <w:pPr>
              <w:spacing w:line="340" w:lineRule="exact"/>
              <w:jc w:val="center"/>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2</w:t>
            </w:r>
          </w:p>
        </w:tc>
        <w:tc>
          <w:tcPr>
            <w:tcW w:w="1309"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7DF5DE0E">
            <w:pPr>
              <w:spacing w:line="340" w:lineRule="exact"/>
              <w:jc w:val="lef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履约保证金</w:t>
            </w:r>
          </w:p>
        </w:tc>
        <w:tc>
          <w:tcPr>
            <w:tcW w:w="1776"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6E60FE48">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《中华人民共和国招标投标法》、《中华人民共和国招标投标实施条例》</w:t>
            </w:r>
          </w:p>
        </w:tc>
        <w:tc>
          <w:tcPr>
            <w:tcW w:w="935"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52597411">
            <w:pPr>
              <w:spacing w:line="340" w:lineRule="exact"/>
              <w:jc w:val="center"/>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中标人</w:t>
            </w:r>
          </w:p>
        </w:tc>
        <w:tc>
          <w:tcPr>
            <w:tcW w:w="1566"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042BCE41">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不得超过中标合同金额的10%，其中2020年12月1日后招标的政府投资房屋建筑和市政基础设施工程不得超过中标合同金额的2%</w:t>
            </w:r>
          </w:p>
        </w:tc>
        <w:tc>
          <w:tcPr>
            <w:tcW w:w="1496" w:type="dxa"/>
            <w:tcBorders>
              <w:top w:val="single" w:color="auto" w:sz="6" w:space="0"/>
              <w:left w:val="single" w:color="auto" w:sz="6" w:space="0"/>
              <w:bottom w:val="single" w:color="auto" w:sz="6" w:space="0"/>
              <w:right w:val="single" w:color="auto" w:sz="6" w:space="0"/>
            </w:tcBorders>
            <w:vAlign w:val="center"/>
          </w:tcPr>
          <w:p w14:paraId="6054C0EE">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根据招标文件或中标合同具体要求执行。</w:t>
            </w:r>
          </w:p>
        </w:tc>
        <w:tc>
          <w:tcPr>
            <w:tcW w:w="1496" w:type="dxa"/>
            <w:tcBorders>
              <w:top w:val="single" w:color="auto" w:sz="6" w:space="0"/>
              <w:left w:val="single" w:color="auto" w:sz="6" w:space="0"/>
              <w:bottom w:val="single" w:color="auto" w:sz="6" w:space="0"/>
              <w:right w:val="single" w:color="auto" w:sz="6" w:space="0"/>
            </w:tcBorders>
            <w:vAlign w:val="center"/>
          </w:tcPr>
          <w:p w14:paraId="28507A0B">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根据中标合同约定，待中标人履行完合同约定权利义务事项后退还。</w:t>
            </w:r>
          </w:p>
        </w:tc>
        <w:tc>
          <w:tcPr>
            <w:tcW w:w="1309"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09F45712">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依法提出招标项目、进行招标的有关部门或单位。</w:t>
            </w:r>
          </w:p>
        </w:tc>
        <w:tc>
          <w:tcPr>
            <w:tcW w:w="2777"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5E163739">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一、执收单位责任：</w:t>
            </w:r>
          </w:p>
          <w:p w14:paraId="1C4561B9">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1、要求中标人提交履约保证金的，应当在招标文件中载明；</w:t>
            </w:r>
          </w:p>
          <w:p w14:paraId="7CD6AE2E">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2、不得超过中标合同金额的10%收取。</w:t>
            </w:r>
          </w:p>
          <w:p w14:paraId="27CDD880">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二、有关监管部门责任：</w:t>
            </w:r>
          </w:p>
          <w:p w14:paraId="20EE06B1">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1、制定完善管理制度，规范管理程序；</w:t>
            </w:r>
          </w:p>
          <w:p w14:paraId="44C27C24">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2、创新管理方式，加强事中事后监管，依法依规减少企业资金占用。</w:t>
            </w:r>
          </w:p>
          <w:p w14:paraId="6159733D">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3、其他依据法律法规和有关规定应当承担的责任事项。</w:t>
            </w:r>
          </w:p>
        </w:tc>
        <w:tc>
          <w:tcPr>
            <w:tcW w:w="2063" w:type="dxa"/>
            <w:tcBorders>
              <w:top w:val="single" w:color="auto" w:sz="6" w:space="0"/>
              <w:left w:val="single" w:color="auto" w:sz="6" w:space="0"/>
              <w:bottom w:val="single" w:color="auto" w:sz="6" w:space="0"/>
              <w:right w:val="single" w:color="auto" w:sz="4" w:space="0"/>
            </w:tcBorders>
            <w:tcMar>
              <w:left w:w="57" w:type="dxa"/>
              <w:right w:w="57" w:type="dxa"/>
            </w:tcMar>
            <w:vAlign w:val="center"/>
          </w:tcPr>
          <w:p w14:paraId="56E49BD3">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一、执收单位超过《条例》规定的比例收取保证金的，由有关监管部门严肃查处，责令改正。</w:t>
            </w:r>
          </w:p>
          <w:p w14:paraId="47B73B89">
            <w:pPr>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二、有关监管部门及其有关工作人员不履行或不正确履行职责的，由有关部门依法追究责任。</w:t>
            </w:r>
          </w:p>
        </w:tc>
      </w:tr>
    </w:tbl>
    <w:p w14:paraId="7B918F39">
      <w:pPr>
        <w:spacing w:line="40" w:lineRule="exact"/>
      </w:pPr>
    </w:p>
    <w:p w14:paraId="5CE4E294">
      <w:pPr>
        <w:spacing w:line="40" w:lineRule="exact"/>
      </w:pPr>
    </w:p>
    <w:p w14:paraId="265BEA23">
      <w:pPr>
        <w:spacing w:line="40" w:lineRule="exact"/>
        <w:rPr>
          <w:rFonts w:ascii="宋体" w:hAnsi="宋体" w:cs="宋体"/>
          <w:sz w:val="18"/>
          <w:szCs w:val="18"/>
        </w:rPr>
      </w:pPr>
    </w:p>
    <w:p w14:paraId="6B13715F">
      <w:pPr>
        <w:spacing w:line="40" w:lineRule="exact"/>
      </w:pPr>
    </w:p>
    <w:p w14:paraId="4D9F7DCF">
      <w:pPr>
        <w:spacing w:line="40" w:lineRule="exact"/>
      </w:pPr>
    </w:p>
    <w:p w14:paraId="042E7377">
      <w:pPr>
        <w:spacing w:line="40" w:lineRule="exact"/>
      </w:pPr>
    </w:p>
    <w:p w14:paraId="6C58EA4D">
      <w:pPr>
        <w:spacing w:line="40" w:lineRule="exact"/>
      </w:pPr>
    </w:p>
    <w:p w14:paraId="67975004">
      <w:pPr>
        <w:spacing w:line="280" w:lineRule="exact"/>
        <w:ind w:firstLine="420" w:firstLineChars="200"/>
        <w:rPr>
          <w:rFonts w:ascii="仿宋_GB2312" w:eastAsia="仿宋_GB2312" w:cs="宋体"/>
          <w:snapToGrid w:val="0"/>
          <w:kern w:val="0"/>
          <w:szCs w:val="21"/>
        </w:rPr>
      </w:pPr>
    </w:p>
    <w:tbl>
      <w:tblPr>
        <w:tblStyle w:val="3"/>
        <w:tblW w:w="1520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75"/>
        <w:gridCol w:w="1309"/>
        <w:gridCol w:w="1776"/>
        <w:gridCol w:w="935"/>
        <w:gridCol w:w="1566"/>
        <w:gridCol w:w="1496"/>
        <w:gridCol w:w="1496"/>
        <w:gridCol w:w="1309"/>
        <w:gridCol w:w="2777"/>
        <w:gridCol w:w="2063"/>
      </w:tblGrid>
      <w:tr w14:paraId="7C9003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069" w:hRule="atLeast"/>
          <w:jc w:val="center"/>
        </w:trPr>
        <w:tc>
          <w:tcPr>
            <w:tcW w:w="475" w:type="dxa"/>
            <w:tcBorders>
              <w:top w:val="single" w:color="auto" w:sz="6" w:space="0"/>
              <w:left w:val="single" w:color="auto" w:sz="4" w:space="0"/>
              <w:bottom w:val="single" w:color="auto" w:sz="6" w:space="0"/>
              <w:right w:val="single" w:color="auto" w:sz="6" w:space="0"/>
            </w:tcBorders>
            <w:tcMar>
              <w:left w:w="57" w:type="dxa"/>
              <w:right w:w="57" w:type="dxa"/>
            </w:tcMar>
            <w:vAlign w:val="center"/>
          </w:tcPr>
          <w:p w14:paraId="40DCBC5E">
            <w:pPr>
              <w:widowControl/>
              <w:snapToGrid w:val="0"/>
              <w:spacing w:line="340" w:lineRule="exact"/>
              <w:jc w:val="center"/>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3</w:t>
            </w:r>
          </w:p>
        </w:tc>
        <w:tc>
          <w:tcPr>
            <w:tcW w:w="1309"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3B398723">
            <w:pPr>
              <w:widowControl/>
              <w:snapToGrid w:val="0"/>
              <w:spacing w:line="340" w:lineRule="exact"/>
              <w:jc w:val="center"/>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农民工工资保证金</w:t>
            </w:r>
          </w:p>
        </w:tc>
        <w:tc>
          <w:tcPr>
            <w:tcW w:w="1776"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62700BD4">
            <w:pPr>
              <w:widowControl/>
              <w:snapToGrid w:val="0"/>
              <w:spacing w:line="240" w:lineRule="exact"/>
              <w:rPr>
                <w:rFonts w:ascii="仿宋_GB2312" w:hAnsi="仿宋_GB2312" w:eastAsia="仿宋_GB2312" w:cs="仿宋_GB2312"/>
                <w:snapToGrid w:val="0"/>
                <w:color w:val="000000"/>
                <w:kern w:val="0"/>
                <w:sz w:val="18"/>
                <w:szCs w:val="18"/>
                <w:shd w:val="clear" w:color="auto" w:fill="FFFFFF"/>
              </w:rPr>
            </w:pPr>
            <w:r>
              <w:rPr>
                <w:rFonts w:hint="eastAsia" w:ascii="仿宋_GB2312" w:hAnsi="仿宋_GB2312" w:eastAsia="仿宋_GB2312" w:cs="仿宋_GB2312"/>
                <w:snapToGrid w:val="0"/>
                <w:color w:val="000000" w:themeColor="text1"/>
                <w:kern w:val="0"/>
                <w:szCs w:val="21"/>
                <w:shd w:val="clear" w:color="auto" w:fill="FFFFFF"/>
                <w14:textFill>
                  <w14:solidFill>
                    <w14:schemeClr w14:val="tx1"/>
                  </w14:solidFill>
                </w14:textFill>
              </w:rPr>
              <w:t>《</w:t>
            </w: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保障农民工工资支付条例</w:t>
            </w:r>
            <w:r>
              <w:rPr>
                <w:rFonts w:hint="eastAsia" w:ascii="仿宋_GB2312" w:hAnsi="仿宋_GB2312" w:eastAsia="仿宋_GB2312" w:cs="仿宋_GB2312"/>
                <w:snapToGrid w:val="0"/>
                <w:color w:val="000000" w:themeColor="text1"/>
                <w:kern w:val="0"/>
                <w:szCs w:val="21"/>
                <w:shd w:val="clear" w:color="auto" w:fill="FFFFFF"/>
                <w14:textFill>
                  <w14:solidFill>
                    <w14:schemeClr w14:val="tx1"/>
                  </w14:solidFill>
                </w14:textFill>
              </w:rPr>
              <w:t>》（</w:t>
            </w: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国务院令第724</w:t>
            </w:r>
            <w:r>
              <w:rPr>
                <w:rFonts w:hint="eastAsia" w:ascii="仿宋_GB2312" w:hAnsi="仿宋_GB2312" w:eastAsia="仿宋_GB2312" w:cs="仿宋_GB2312"/>
                <w:snapToGrid w:val="0"/>
                <w:color w:val="000000" w:themeColor="text1"/>
                <w:kern w:val="0"/>
                <w:szCs w:val="21"/>
                <w:shd w:val="clear" w:color="auto" w:fill="FFFFFF"/>
                <w14:textFill>
                  <w14:solidFill>
                    <w14:schemeClr w14:val="tx1"/>
                  </w14:solidFill>
                </w14:textFill>
              </w:rPr>
              <w:t>号）</w:t>
            </w: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w:t>
            </w:r>
            <w:r>
              <w:rPr>
                <w:rFonts w:hint="eastAsia" w:ascii="仿宋_GB2312" w:hAnsi="仿宋_GB2312" w:eastAsia="仿宋_GB2312" w:cs="仿宋_GB2312"/>
                <w:snapToGrid w:val="0"/>
                <w:color w:val="000000" w:themeColor="text1"/>
                <w:kern w:val="0"/>
                <w:szCs w:val="21"/>
                <w:shd w:val="clear" w:color="auto" w:fill="FFFFFF"/>
                <w14:textFill>
                  <w14:solidFill>
                    <w14:schemeClr w14:val="tx1"/>
                  </w14:solidFill>
                </w14:textFill>
              </w:rPr>
              <w:t>《关于</w:t>
            </w: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印发〈工程建设领域农民工工资保证金规定〉的通知</w:t>
            </w:r>
            <w:r>
              <w:rPr>
                <w:rFonts w:hint="eastAsia" w:ascii="仿宋_GB2312" w:hAnsi="仿宋_GB2312" w:eastAsia="仿宋_GB2312" w:cs="仿宋_GB2312"/>
                <w:snapToGrid w:val="0"/>
                <w:color w:val="000000" w:themeColor="text1"/>
                <w:kern w:val="0"/>
                <w:szCs w:val="21"/>
                <w:shd w:val="clear" w:color="auto" w:fill="FFFFFF"/>
                <w14:textFill>
                  <w14:solidFill>
                    <w14:schemeClr w14:val="tx1"/>
                  </w14:solidFill>
                </w14:textFill>
              </w:rPr>
              <w:t>》（</w:t>
            </w: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人社部</w:t>
            </w:r>
            <w:r>
              <w:rPr>
                <w:rFonts w:hint="eastAsia" w:ascii="仿宋_GB2312" w:hAnsi="仿宋_GB2312" w:eastAsia="仿宋_GB2312" w:cs="仿宋_GB2312"/>
                <w:snapToGrid w:val="0"/>
                <w:color w:val="000000" w:themeColor="text1"/>
                <w:kern w:val="0"/>
                <w:szCs w:val="21"/>
                <w:shd w:val="clear" w:color="auto" w:fill="FFFFFF"/>
                <w14:textFill>
                  <w14:solidFill>
                    <w14:schemeClr w14:val="tx1"/>
                  </w14:solidFill>
                </w14:textFill>
              </w:rPr>
              <w:t>发〔20</w:t>
            </w: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21</w:t>
            </w:r>
            <w:r>
              <w:rPr>
                <w:rFonts w:hint="eastAsia" w:ascii="仿宋_GB2312" w:hAnsi="仿宋_GB2312" w:eastAsia="仿宋_GB2312" w:cs="仿宋_GB2312"/>
                <w:snapToGrid w:val="0"/>
                <w:color w:val="000000" w:themeColor="text1"/>
                <w:kern w:val="0"/>
                <w:szCs w:val="21"/>
                <w:shd w:val="clear" w:color="auto" w:fill="FFFFFF"/>
                <w14:textFill>
                  <w14:solidFill>
                    <w14:schemeClr w14:val="tx1"/>
                  </w14:solidFill>
                </w14:textFill>
              </w:rPr>
              <w:t>〕</w:t>
            </w: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65</w:t>
            </w:r>
            <w:r>
              <w:rPr>
                <w:rFonts w:hint="eastAsia" w:ascii="仿宋_GB2312" w:hAnsi="仿宋_GB2312" w:eastAsia="仿宋_GB2312" w:cs="仿宋_GB2312"/>
                <w:snapToGrid w:val="0"/>
                <w:color w:val="000000" w:themeColor="text1"/>
                <w:kern w:val="0"/>
                <w:szCs w:val="21"/>
                <w:shd w:val="clear" w:color="auto" w:fill="FFFFFF"/>
                <w14:textFill>
                  <w14:solidFill>
                    <w14:schemeClr w14:val="tx1"/>
                  </w14:solidFill>
                </w14:textFill>
              </w:rPr>
              <w:t>号）</w:t>
            </w: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w:t>
            </w:r>
            <w:r>
              <w:rPr>
                <w:rFonts w:hint="eastAsia" w:ascii="仿宋_GB2312" w:hAnsi="仿宋_GB2312" w:eastAsia="仿宋_GB2312" w:cs="仿宋_GB2312"/>
                <w:snapToGrid w:val="0"/>
                <w:color w:val="000000" w:themeColor="text1"/>
                <w:kern w:val="0"/>
                <w:szCs w:val="21"/>
                <w:shd w:val="clear" w:color="auto" w:fill="FFFFFF"/>
                <w14:textFill>
                  <w14:solidFill>
                    <w14:schemeClr w14:val="tx1"/>
                  </w14:solidFill>
                </w14:textFill>
              </w:rPr>
              <w:t>《安徽省工资支付规定》（省政府令第194号）</w:t>
            </w: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；《安徽省工程建设领域农民工工资保证金实施办法》（皖人社发</w:t>
            </w:r>
            <w:r>
              <w:rPr>
                <w:rFonts w:hint="eastAsia" w:ascii="仿宋_GB2312" w:hAnsi="仿宋_GB2312" w:eastAsia="仿宋_GB2312" w:cs="仿宋_GB2312"/>
                <w:snapToGrid w:val="0"/>
                <w:color w:val="000000" w:themeColor="text1"/>
                <w:kern w:val="0"/>
                <w:szCs w:val="21"/>
                <w:shd w:val="clear" w:color="auto" w:fill="FFFFFF"/>
                <w14:textFill>
                  <w14:solidFill>
                    <w14:schemeClr w14:val="tx1"/>
                  </w14:solidFill>
                </w14:textFill>
              </w:rPr>
              <w:t>〔20</w:t>
            </w: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22</w:t>
            </w:r>
            <w:r>
              <w:rPr>
                <w:rFonts w:hint="eastAsia" w:ascii="仿宋_GB2312" w:hAnsi="仿宋_GB2312" w:eastAsia="仿宋_GB2312" w:cs="仿宋_GB2312"/>
                <w:snapToGrid w:val="0"/>
                <w:color w:val="000000" w:themeColor="text1"/>
                <w:kern w:val="0"/>
                <w:szCs w:val="21"/>
                <w:shd w:val="clear" w:color="auto" w:fill="FFFFFF"/>
                <w14:textFill>
                  <w14:solidFill>
                    <w14:schemeClr w14:val="tx1"/>
                  </w14:solidFill>
                </w14:textFill>
              </w:rPr>
              <w:t>〕</w:t>
            </w: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8</w:t>
            </w:r>
            <w:r>
              <w:rPr>
                <w:rFonts w:hint="eastAsia" w:ascii="仿宋_GB2312" w:hAnsi="仿宋_GB2312" w:eastAsia="仿宋_GB2312" w:cs="仿宋_GB2312"/>
                <w:snapToGrid w:val="0"/>
                <w:color w:val="000000" w:themeColor="text1"/>
                <w:kern w:val="0"/>
                <w:szCs w:val="21"/>
                <w:shd w:val="clear" w:color="auto" w:fill="FFFFFF"/>
                <w14:textFill>
                  <w14:solidFill>
                    <w14:schemeClr w14:val="tx1"/>
                  </w14:solidFill>
                </w14:textFill>
              </w:rPr>
              <w:t>号</w:t>
            </w: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w:t>
            </w:r>
          </w:p>
        </w:tc>
        <w:tc>
          <w:tcPr>
            <w:tcW w:w="935"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4D041470">
            <w:pPr>
              <w:widowControl/>
              <w:snapToGrid w:val="0"/>
              <w:spacing w:line="260" w:lineRule="exact"/>
              <w:rPr>
                <w:rFonts w:ascii="仿宋_GB2312" w:hAnsi="仿宋_GB2312" w:eastAsia="仿宋_GB2312" w:cs="仿宋_GB2312"/>
                <w:snapToGrid w:val="0"/>
                <w:color w:val="000000"/>
                <w:kern w:val="0"/>
                <w:sz w:val="18"/>
                <w:szCs w:val="18"/>
                <w:shd w:val="clear" w:color="auto" w:fill="FFFFFF"/>
              </w:rPr>
            </w:pP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工程建设领域施工总承包单位（包括直接承包建设单位发包工程的专业承包企业）</w:t>
            </w:r>
          </w:p>
        </w:tc>
        <w:tc>
          <w:tcPr>
            <w:tcW w:w="1566"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0B9F2F50">
            <w:pPr>
              <w:widowControl/>
              <w:snapToGrid w:val="0"/>
              <w:spacing w:line="280" w:lineRule="exact"/>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pP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工资保证金按工程施工合同额(或年度合同额)的一定比例存储：</w:t>
            </w:r>
          </w:p>
          <w:p w14:paraId="77E8F3C1">
            <w:pPr>
              <w:widowControl/>
              <w:snapToGrid w:val="0"/>
              <w:spacing w:line="280" w:lineRule="exact"/>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pP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（一）合同额在3亿元以上(含)的，工资保证金存储比例为1%，存储金额不超过500万元；</w:t>
            </w:r>
          </w:p>
          <w:p w14:paraId="15735AE8">
            <w:pPr>
              <w:widowControl/>
              <w:snapToGrid w:val="0"/>
              <w:spacing w:line="280" w:lineRule="exact"/>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pP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（二）合同额在3亿元以下的，工资保证金存储比例为2%，存储金额不超过300万元。</w:t>
            </w:r>
          </w:p>
          <w:p w14:paraId="14FFA42D">
            <w:pPr>
              <w:widowControl/>
              <w:snapToGrid w:val="0"/>
              <w:spacing w:line="240" w:lineRule="exact"/>
              <w:rPr>
                <w:rFonts w:ascii="仿宋_GB2312" w:hAnsi="仿宋_GB2312" w:eastAsia="仿宋_GB2312" w:cs="仿宋_GB2312"/>
                <w:snapToGrid w:val="0"/>
                <w:color w:val="000000"/>
                <w:kern w:val="0"/>
                <w:sz w:val="18"/>
                <w:szCs w:val="18"/>
                <w:shd w:val="clear" w:color="auto" w:fill="FFFFFF"/>
              </w:rPr>
            </w:pP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（三）工资保证金按照保证金存储有关规定，结合分级分类信用监管，实行差异化缴存。</w:t>
            </w:r>
          </w:p>
        </w:tc>
        <w:tc>
          <w:tcPr>
            <w:tcW w:w="1496" w:type="dxa"/>
            <w:tcBorders>
              <w:top w:val="single" w:color="auto" w:sz="6" w:space="0"/>
              <w:left w:val="single" w:color="auto" w:sz="6" w:space="0"/>
              <w:bottom w:val="single" w:color="auto" w:sz="6" w:space="0"/>
              <w:right w:val="single" w:color="auto" w:sz="6" w:space="0"/>
            </w:tcBorders>
            <w:vAlign w:val="center"/>
          </w:tcPr>
          <w:p w14:paraId="7BCD8506">
            <w:pPr>
              <w:widowControl/>
              <w:snapToGrid w:val="0"/>
              <w:spacing w:line="340" w:lineRule="exact"/>
              <w:rPr>
                <w:rFonts w:ascii="仿宋_GB2312" w:hAnsi="仿宋_GB2312" w:eastAsia="仿宋_GB2312" w:cs="仿宋_GB2312"/>
                <w:snapToGrid w:val="0"/>
                <w:color w:val="000000"/>
                <w:kern w:val="0"/>
                <w:szCs w:val="21"/>
                <w:shd w:val="clear" w:color="auto" w:fill="FFFFFF"/>
              </w:rPr>
            </w:pP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根据《安徽省工程建设领域农民工工资保证金实施办法》保证金存储要求执行</w:t>
            </w:r>
          </w:p>
        </w:tc>
        <w:tc>
          <w:tcPr>
            <w:tcW w:w="1496" w:type="dxa"/>
            <w:tcBorders>
              <w:top w:val="single" w:color="auto" w:sz="6" w:space="0"/>
              <w:left w:val="single" w:color="auto" w:sz="6" w:space="0"/>
              <w:bottom w:val="single" w:color="auto" w:sz="6" w:space="0"/>
              <w:right w:val="single" w:color="auto" w:sz="6" w:space="0"/>
            </w:tcBorders>
            <w:vAlign w:val="center"/>
          </w:tcPr>
          <w:p w14:paraId="02824B82">
            <w:pPr>
              <w:widowControl/>
              <w:snapToGrid w:val="0"/>
              <w:spacing w:line="340" w:lineRule="exact"/>
              <w:rPr>
                <w:rFonts w:ascii="仿宋_GB2312" w:hAnsi="仿宋_GB2312" w:eastAsia="仿宋_GB2312" w:cs="仿宋_GB2312"/>
                <w:snapToGrid w:val="0"/>
                <w:color w:val="000000"/>
                <w:kern w:val="0"/>
                <w:szCs w:val="21"/>
                <w:shd w:val="clear" w:color="auto" w:fill="FFFFFF"/>
              </w:rPr>
            </w:pP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工资保证金对应的工程完工，施工总承包单位作出书面承诺该工程项目不存在未解决的拖欠农民工工资问题，并在施工现场维权信息告示牌及属地人力资源社会保障行政部门门户网站公示30日后，可以申请返还（销户）工资保证金或退还银行保函正本、保证保险凭证。</w:t>
            </w:r>
          </w:p>
        </w:tc>
        <w:tc>
          <w:tcPr>
            <w:tcW w:w="1309"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5DA0C2FB">
            <w:pPr>
              <w:widowControl/>
              <w:snapToGrid w:val="0"/>
              <w:spacing w:line="34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工程项目所在地的工资保证金监管部门。</w:t>
            </w:r>
          </w:p>
          <w:p w14:paraId="71380774">
            <w:pPr>
              <w:widowControl/>
              <w:snapToGrid w:val="0"/>
              <w:spacing w:line="340" w:lineRule="exact"/>
              <w:rPr>
                <w:rFonts w:ascii="仿宋_GB2312" w:hAnsi="仿宋_GB2312" w:eastAsia="仿宋_GB2312" w:cs="仿宋_GB2312"/>
                <w:snapToGrid w:val="0"/>
                <w:color w:val="000000"/>
                <w:kern w:val="0"/>
                <w:szCs w:val="21"/>
                <w:shd w:val="clear" w:color="auto" w:fill="FFFFFF"/>
              </w:rPr>
            </w:pPr>
          </w:p>
        </w:tc>
        <w:tc>
          <w:tcPr>
            <w:tcW w:w="2777"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12F95A22">
            <w:pPr>
              <w:snapToGrid w:val="0"/>
              <w:spacing w:line="220" w:lineRule="exact"/>
              <w:rPr>
                <w:rFonts w:ascii="仿宋_GB2312" w:hAnsi="仿宋_GB2312" w:eastAsia="仿宋_GB2312" w:cs="仿宋_GB2312"/>
                <w:snapToGrid w:val="0"/>
                <w:color w:val="000000"/>
                <w:kern w:val="0"/>
                <w:sz w:val="18"/>
                <w:szCs w:val="18"/>
                <w:shd w:val="clear" w:color="auto" w:fill="FFFFFF"/>
              </w:rPr>
            </w:pP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工资保证金实行专款专用，除用于清偿（先行清偿）施工总承包单位所承包工程项目拖欠农民工工资外，不得用于其他用途。除法律另有规定外，工资保证金不得因支付为本工程项目提供劳动的农民工工资之外的原因被查封、冻结或划拨。</w:t>
            </w:r>
          </w:p>
        </w:tc>
        <w:tc>
          <w:tcPr>
            <w:tcW w:w="2063" w:type="dxa"/>
            <w:tcBorders>
              <w:top w:val="single" w:color="auto" w:sz="6" w:space="0"/>
              <w:left w:val="single" w:color="auto" w:sz="6" w:space="0"/>
              <w:bottom w:val="single" w:color="auto" w:sz="6" w:space="0"/>
              <w:right w:val="single" w:color="auto" w:sz="4" w:space="0"/>
            </w:tcBorders>
            <w:tcMar>
              <w:left w:w="57" w:type="dxa"/>
              <w:right w:w="57" w:type="dxa"/>
            </w:tcMar>
            <w:vAlign w:val="center"/>
          </w:tcPr>
          <w:p w14:paraId="6FCD89CA">
            <w:pPr>
              <w:widowControl/>
              <w:snapToGrid w:val="0"/>
              <w:spacing w:line="280" w:lineRule="exact"/>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pP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一、属地人力资源社会保障行政部门要建立工资保证金管理台账，严格规范财务、审计制度，加强账户监管，确保专款专用。</w:t>
            </w:r>
          </w:p>
          <w:p w14:paraId="77D4522C">
            <w:pPr>
              <w:widowControl/>
              <w:snapToGrid w:val="0"/>
              <w:spacing w:line="280" w:lineRule="exact"/>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pP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二、行业工程建设主管部门对在日常监督检查中发现的未按规定存储工资保证金问题，应及时通报同级人力资源社会保障行政部门。</w:t>
            </w:r>
          </w:p>
          <w:p w14:paraId="1DFC57E0">
            <w:pPr>
              <w:snapToGrid w:val="0"/>
              <w:spacing w:line="240" w:lineRule="exact"/>
              <w:rPr>
                <w:rFonts w:ascii="仿宋_GB2312" w:hAnsi="仿宋_GB2312" w:eastAsia="仿宋_GB2312" w:cs="仿宋_GB2312"/>
                <w:snapToGrid w:val="0"/>
                <w:color w:val="000000"/>
                <w:kern w:val="0"/>
                <w:sz w:val="18"/>
                <w:szCs w:val="18"/>
                <w:shd w:val="clear" w:color="auto" w:fill="FFFFFF"/>
              </w:rPr>
            </w:pPr>
            <w:r>
              <w:rPr>
                <w:rFonts w:ascii="仿宋_GB2312" w:hAnsi="仿宋_GB2312" w:eastAsia="仿宋_GB2312" w:cs="仿宋_GB2312"/>
                <w:snapToGrid w:val="0"/>
                <w:color w:val="000000" w:themeColor="text1"/>
                <w:kern w:val="0"/>
                <w:szCs w:val="21"/>
                <w:shd w:val="clear" w:color="auto" w:fill="FFFFFF"/>
                <w14:textFill>
                  <w14:solidFill>
                    <w14:schemeClr w14:val="tx1"/>
                  </w14:solidFill>
                </w14:textFill>
              </w:rPr>
              <w:t>三、对行政部门擅自减免、超限额收缴、违规挪用、无故拖延返还工资保证金的，要严肃追究责任，依法依规对有关责任人员实行问责；涉嫌犯罪的，移送司法机关处理。</w:t>
            </w:r>
          </w:p>
        </w:tc>
      </w:tr>
      <w:tr w14:paraId="36C5D2A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069" w:hRule="atLeast"/>
          <w:jc w:val="center"/>
        </w:trPr>
        <w:tc>
          <w:tcPr>
            <w:tcW w:w="475" w:type="dxa"/>
            <w:tcBorders>
              <w:top w:val="single" w:color="auto" w:sz="6" w:space="0"/>
              <w:left w:val="single" w:color="auto" w:sz="4" w:space="0"/>
              <w:bottom w:val="single" w:color="auto" w:sz="6" w:space="0"/>
              <w:right w:val="single" w:color="auto" w:sz="6" w:space="0"/>
            </w:tcBorders>
            <w:tcMar>
              <w:left w:w="57" w:type="dxa"/>
              <w:right w:w="57" w:type="dxa"/>
            </w:tcMar>
            <w:vAlign w:val="center"/>
          </w:tcPr>
          <w:p w14:paraId="126F91D7">
            <w:pPr>
              <w:widowControl/>
              <w:snapToGrid w:val="0"/>
              <w:spacing w:line="340" w:lineRule="exact"/>
              <w:jc w:val="center"/>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4</w:t>
            </w:r>
          </w:p>
        </w:tc>
        <w:tc>
          <w:tcPr>
            <w:tcW w:w="1309"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1F4EC10C">
            <w:pPr>
              <w:widowControl/>
              <w:snapToGrid w:val="0"/>
              <w:spacing w:line="340" w:lineRule="exact"/>
              <w:jc w:val="center"/>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工程质量</w:t>
            </w:r>
          </w:p>
          <w:p w14:paraId="5A8E5B66">
            <w:pPr>
              <w:widowControl/>
              <w:snapToGrid w:val="0"/>
              <w:spacing w:line="340" w:lineRule="exact"/>
              <w:jc w:val="center"/>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保证金</w:t>
            </w:r>
          </w:p>
        </w:tc>
        <w:tc>
          <w:tcPr>
            <w:tcW w:w="1776"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472CD2DC">
            <w:pPr>
              <w:widowControl/>
              <w:snapToGrid w:val="0"/>
              <w:spacing w:line="28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《国务院办公厅关于清理规范工程建设领域保证金的通知》（国办发〔2016〕49号）；</w:t>
            </w:r>
          </w:p>
          <w:p w14:paraId="3141C0C2">
            <w:pPr>
              <w:widowControl/>
              <w:snapToGrid w:val="0"/>
              <w:spacing w:line="28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住房城乡建设部、财政部关于印发建设工程质量保证金管理办法的通知（建质[2017]138号）</w:t>
            </w:r>
          </w:p>
        </w:tc>
        <w:tc>
          <w:tcPr>
            <w:tcW w:w="935"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46DDE98D">
            <w:pPr>
              <w:widowControl/>
              <w:snapToGrid w:val="0"/>
              <w:spacing w:line="28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建设工程承包人</w:t>
            </w:r>
          </w:p>
        </w:tc>
        <w:tc>
          <w:tcPr>
            <w:tcW w:w="1566"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3CD2B085">
            <w:pPr>
              <w:widowControl/>
              <w:snapToGrid w:val="0"/>
              <w:spacing w:line="28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发按合同约定方式预留保证金，保证金总预留比例不得高于工程价款结算总额的3%；合同约定由承包人以银行保函替代预留保证金的，保函金额不得高于工程价款结算总额的3%。</w:t>
            </w:r>
          </w:p>
        </w:tc>
        <w:tc>
          <w:tcPr>
            <w:tcW w:w="1496" w:type="dxa"/>
            <w:tcBorders>
              <w:top w:val="single" w:color="auto" w:sz="6" w:space="0"/>
              <w:left w:val="single" w:color="auto" w:sz="6" w:space="0"/>
              <w:bottom w:val="single" w:color="auto" w:sz="6" w:space="0"/>
              <w:right w:val="single" w:color="auto" w:sz="6" w:space="0"/>
            </w:tcBorders>
            <w:vAlign w:val="center"/>
          </w:tcPr>
          <w:p w14:paraId="582CA461">
            <w:pPr>
              <w:widowControl/>
              <w:snapToGrid w:val="0"/>
              <w:spacing w:line="28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发包人与承包人在建设工程承包合同中约定，从应付的工程款中预留，可以银行保函方式缴纳工程质量保证金，采用工程质量担保、工程质量保险等其他保证方式的不得预留工程质量保证金，建筑企业缴纳履约保证金的，建设单位不得同时预留工程质量保证金。</w:t>
            </w:r>
          </w:p>
        </w:tc>
        <w:tc>
          <w:tcPr>
            <w:tcW w:w="1496" w:type="dxa"/>
            <w:tcBorders>
              <w:top w:val="single" w:color="auto" w:sz="6" w:space="0"/>
              <w:left w:val="single" w:color="auto" w:sz="6" w:space="0"/>
              <w:bottom w:val="single" w:color="auto" w:sz="6" w:space="0"/>
              <w:right w:val="single" w:color="auto" w:sz="6" w:space="0"/>
            </w:tcBorders>
            <w:vAlign w:val="center"/>
          </w:tcPr>
          <w:p w14:paraId="0CD33FC9">
            <w:pPr>
              <w:widowControl/>
              <w:snapToGrid w:val="0"/>
              <w:spacing w:line="28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缺陷责任期结束后，承包人可向发包人提出返还保证金申请，发包人在接到承包人返还保证金申请后，应于14天内会同承包人按照合同约定的内容进行核实，如无异议，发包人应当按照约定将保证金返还给承包人。</w:t>
            </w:r>
          </w:p>
        </w:tc>
        <w:tc>
          <w:tcPr>
            <w:tcW w:w="1309"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66994988">
            <w:pPr>
              <w:widowControl/>
              <w:snapToGrid w:val="0"/>
              <w:spacing w:line="280" w:lineRule="exact"/>
              <w:jc w:val="center"/>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建设工程</w:t>
            </w:r>
          </w:p>
          <w:p w14:paraId="2DDD3C28">
            <w:pPr>
              <w:widowControl/>
              <w:snapToGrid w:val="0"/>
              <w:spacing w:line="280" w:lineRule="exact"/>
              <w:jc w:val="center"/>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发包人</w:t>
            </w:r>
          </w:p>
        </w:tc>
        <w:tc>
          <w:tcPr>
            <w:tcW w:w="2777" w:type="dxa"/>
            <w:tcBorders>
              <w:top w:val="single" w:color="auto" w:sz="6" w:space="0"/>
              <w:left w:val="single" w:color="auto" w:sz="6" w:space="0"/>
              <w:bottom w:val="single" w:color="auto" w:sz="6" w:space="0"/>
              <w:right w:val="single" w:color="auto" w:sz="6" w:space="0"/>
            </w:tcBorders>
            <w:tcMar>
              <w:left w:w="57" w:type="dxa"/>
              <w:right w:w="57" w:type="dxa"/>
            </w:tcMar>
            <w:vAlign w:val="center"/>
          </w:tcPr>
          <w:p w14:paraId="3AF8D217">
            <w:pPr>
              <w:snapToGrid w:val="0"/>
              <w:spacing w:line="26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一、执收单位责任：</w:t>
            </w:r>
          </w:p>
          <w:p w14:paraId="3B6C5B17">
            <w:pPr>
              <w:snapToGrid w:val="0"/>
              <w:spacing w:line="26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1、发包人应按照收费标准收取保证金。</w:t>
            </w:r>
          </w:p>
          <w:p w14:paraId="545EE02D">
            <w:pPr>
              <w:snapToGrid w:val="0"/>
              <w:spacing w:line="26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2、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200B076A">
            <w:pPr>
              <w:snapToGrid w:val="0"/>
              <w:spacing w:line="26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二、主管部门责任：</w:t>
            </w:r>
          </w:p>
          <w:p w14:paraId="1E4B3436">
            <w:pPr>
              <w:snapToGrid w:val="0"/>
              <w:spacing w:line="26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1、贯彻落实保证金政策，主动公布有关保证金文件。</w:t>
            </w:r>
          </w:p>
          <w:p w14:paraId="78B07F2E">
            <w:pPr>
              <w:snapToGrid w:val="0"/>
              <w:spacing w:line="26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2、负责对保证金预留政策执行情况的监督检查，依法依规纠正违法违规行为。</w:t>
            </w:r>
          </w:p>
          <w:p w14:paraId="52C94BB7">
            <w:pPr>
              <w:snapToGrid w:val="0"/>
              <w:spacing w:line="26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3、加大对违法违规行为的处罚与曝光。</w:t>
            </w:r>
          </w:p>
          <w:p w14:paraId="68C2458D">
            <w:pPr>
              <w:snapToGrid w:val="0"/>
              <w:spacing w:line="26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4、其他依据法律法规和有关规定应当承担的责任事项。</w:t>
            </w:r>
          </w:p>
        </w:tc>
        <w:tc>
          <w:tcPr>
            <w:tcW w:w="2063" w:type="dxa"/>
            <w:tcBorders>
              <w:top w:val="single" w:color="auto" w:sz="6" w:space="0"/>
              <w:left w:val="single" w:color="auto" w:sz="6" w:space="0"/>
              <w:bottom w:val="single" w:color="auto" w:sz="6" w:space="0"/>
              <w:right w:val="single" w:color="auto" w:sz="4" w:space="0"/>
            </w:tcBorders>
            <w:tcMar>
              <w:left w:w="57" w:type="dxa"/>
              <w:right w:w="57" w:type="dxa"/>
            </w:tcMar>
            <w:vAlign w:val="center"/>
          </w:tcPr>
          <w:p w14:paraId="6DC25B27">
            <w:pPr>
              <w:snapToGrid w:val="0"/>
              <w:spacing w:line="28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一、政府投资项目保证金的管理应按同级国库集中支付的有关规定执行。</w:t>
            </w:r>
          </w:p>
          <w:p w14:paraId="0A51A4B6">
            <w:pPr>
              <w:shd w:val="clear" w:color="auto" w:fill="FFFFFF"/>
              <w:snapToGrid w:val="0"/>
              <w:spacing w:line="280" w:lineRule="exact"/>
              <w:rPr>
                <w:rFonts w:ascii="仿宋_GB2312" w:hAnsi="仿宋_GB2312" w:eastAsia="仿宋_GB2312" w:cs="仿宋_GB2312"/>
                <w:snapToGrid w:val="0"/>
                <w:color w:val="000000"/>
                <w:kern w:val="0"/>
                <w:szCs w:val="21"/>
                <w:shd w:val="clear" w:color="auto" w:fill="FFFFFF"/>
              </w:rPr>
            </w:pPr>
            <w:r>
              <w:rPr>
                <w:rFonts w:hint="eastAsia" w:ascii="仿宋_GB2312" w:hAnsi="仿宋_GB2312" w:eastAsia="仿宋_GB2312" w:cs="仿宋_GB2312"/>
                <w:snapToGrid w:val="0"/>
                <w:color w:val="000000"/>
                <w:kern w:val="0"/>
                <w:szCs w:val="21"/>
                <w:shd w:val="clear" w:color="auto" w:fill="FFFFFF"/>
              </w:rPr>
              <w:t>二、非政府投资项目发包人和承包人对保证金预留、返还以及工程维修质量、费用有争议的，按承包合同约定的争议和纠纷解决程序处理。</w:t>
            </w:r>
          </w:p>
        </w:tc>
      </w:tr>
    </w:tbl>
    <w:p w14:paraId="0AEE548B">
      <w:pPr>
        <w:pStyle w:val="2"/>
        <w:jc w:val="both"/>
      </w:pPr>
    </w:p>
    <w:p w14:paraId="0E16F83D"/>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E1679D"/>
    <w:rsid w:val="4F3C04ED"/>
    <w:rsid w:val="73E167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jc w:val="center"/>
    </w:pPr>
    <w:rPr>
      <w:rFonts w:ascii="Calibri" w:hAnsi="Calibr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8393</Words>
  <Characters>9121</Characters>
  <Lines>0</Lines>
  <Paragraphs>0</Paragraphs>
  <TotalTime>0</TotalTime>
  <ScaleCrop>false</ScaleCrop>
  <LinksUpToDate>false</LinksUpToDate>
  <CharactersWithSpaces>9125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2024-11-14T01:11:00Z</dcterms:created>
  <dc:creator>薄荷</dc:creator>
  <cp:lastModifiedBy>夏菁</cp:lastModifiedBy>
  <dcterms:modified xsi:type="dcterms:W3CDTF">2024-11-28T08:13:52Z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4351BA722C0A401297274738792E91E7_11</vt:lpwstr>
  </property>
</Properties>
</file>