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1C7BD2">
      <w:pPr>
        <w:spacing w:line="0" w:lineRule="atLeas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九华山风景区新媒体宣传营销奖励</w:t>
      </w:r>
    </w:p>
    <w:p w14:paraId="47C6EB06">
      <w:pPr>
        <w:spacing w:line="0" w:lineRule="atLeas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暂行办法（征求意见稿）</w:t>
      </w:r>
    </w:p>
    <w:p w14:paraId="0664C70B">
      <w:pPr>
        <w:rPr>
          <w:rFonts w:ascii="仿宋_GB2312" w:eastAsia="仿宋_GB2312"/>
          <w:color w:val="auto"/>
        </w:rPr>
      </w:pPr>
      <w:bookmarkStart w:id="2" w:name="_GoBack"/>
      <w:bookmarkEnd w:id="2"/>
    </w:p>
    <w:p w14:paraId="63349D6D">
      <w:pPr>
        <w:ind w:firstLine="640" w:firstLineChars="200"/>
        <w:rPr>
          <w:rFonts w:ascii="仿宋_GB2312" w:eastAsia="仿宋_GB2312"/>
          <w:color w:val="auto"/>
          <w:sz w:val="32"/>
        </w:rPr>
      </w:pPr>
      <w:r>
        <w:rPr>
          <w:rFonts w:hint="eastAsia" w:ascii="黑体" w:hAnsi="黑体" w:eastAsia="黑体" w:cs="黑体"/>
          <w:color w:val="auto"/>
          <w:sz w:val="32"/>
        </w:rPr>
        <w:t>第一条</w:t>
      </w:r>
      <w:r>
        <w:rPr>
          <w:rFonts w:hint="eastAsia" w:ascii="仿宋_GB2312" w:hAnsi="黑体" w:eastAsia="仿宋_GB2312" w:cs="黑体"/>
          <w:color w:val="auto"/>
          <w:sz w:val="32"/>
        </w:rPr>
        <w:t xml:space="preserve">  </w:t>
      </w:r>
      <w:r>
        <w:rPr>
          <w:rFonts w:hint="eastAsia" w:ascii="仿宋_GB2312" w:eastAsia="仿宋_GB2312"/>
          <w:color w:val="auto"/>
          <w:sz w:val="32"/>
        </w:rPr>
        <w:t>为加大九华山风景区（以下简称风景区）品牌宣传推广力度，扩大风景区在新媒体领域影响力和知名度，根据《中华人民共和国旅游法》《安徽省旅游条例》《互联网信息服务管理办法》《互联网宗教信息服务管理办法》等，在传统营销模式基础上，采取“以奖代补”形式对定额批量购买门票并通过新媒体平台开展宣传营销的企业或个人进行奖励，特制定本办法。</w:t>
      </w:r>
    </w:p>
    <w:p w14:paraId="748853C8">
      <w:pPr>
        <w:ind w:firstLine="640" w:firstLineChars="200"/>
        <w:rPr>
          <w:rFonts w:ascii="仿宋_GB2312" w:eastAsia="仿宋_GB2312"/>
          <w:color w:val="auto"/>
          <w:sz w:val="32"/>
        </w:rPr>
      </w:pPr>
      <w:r>
        <w:rPr>
          <w:rFonts w:hint="eastAsia" w:ascii="黑体" w:hAnsi="黑体" w:eastAsia="黑体" w:cs="黑体"/>
          <w:color w:val="auto"/>
          <w:sz w:val="32"/>
        </w:rPr>
        <w:t>第二条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本办法本着</w:t>
      </w:r>
      <w:r>
        <w:rPr>
          <w:rFonts w:ascii="仿宋_GB2312" w:eastAsia="仿宋_GB2312"/>
          <w:color w:val="auto"/>
          <w:sz w:val="32"/>
        </w:rPr>
        <w:t>本着公开、公平、公正、及时</w:t>
      </w:r>
      <w:r>
        <w:rPr>
          <w:rFonts w:hint="eastAsia" w:ascii="仿宋_GB2312" w:eastAsia="仿宋_GB2312"/>
          <w:color w:val="auto"/>
          <w:sz w:val="32"/>
        </w:rPr>
        <w:t>原则。</w:t>
      </w:r>
    </w:p>
    <w:p w14:paraId="2D032328">
      <w:pPr>
        <w:ind w:firstLine="640" w:firstLineChars="200"/>
        <w:rPr>
          <w:rFonts w:ascii="仿宋_GB2312" w:eastAsia="仿宋_GB2312"/>
          <w:color w:val="auto"/>
          <w:sz w:val="32"/>
        </w:rPr>
      </w:pPr>
      <w:r>
        <w:rPr>
          <w:rFonts w:hint="eastAsia" w:ascii="黑体" w:hAnsi="黑体" w:eastAsia="黑体" w:cs="黑体"/>
          <w:color w:val="auto"/>
          <w:sz w:val="32"/>
        </w:rPr>
        <w:t>第三条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奖励对象为通过抖音、快手、小红书、微信视频号等新媒体平台账号，以短视频、直播、图文等形式直销门票、正面宣传风景区的企业或个人（以下简称新媒体营销主体）。</w:t>
      </w:r>
    </w:p>
    <w:p w14:paraId="6C6886FA">
      <w:pPr>
        <w:ind w:firstLine="640" w:firstLineChars="200"/>
        <w:rPr>
          <w:rFonts w:ascii="仿宋_GB2312" w:eastAsia="仿宋_GB2312"/>
          <w:color w:val="auto"/>
          <w:sz w:val="32"/>
        </w:rPr>
      </w:pPr>
      <w:r>
        <w:rPr>
          <w:rFonts w:hint="eastAsia" w:ascii="仿宋_GB2312" w:eastAsia="仿宋_GB2312"/>
          <w:color w:val="auto"/>
          <w:sz w:val="32"/>
        </w:rPr>
        <w:t>新媒体营销主体可通过自行注册的账号（不包括企业内部员工账号）或取得第三方授权的账号开展宣传营销活动。</w:t>
      </w:r>
    </w:p>
    <w:p w14:paraId="010F0FAC">
      <w:pPr>
        <w:ind w:firstLine="640" w:firstLineChars="200"/>
        <w:rPr>
          <w:rFonts w:ascii="仿宋_GB2312" w:eastAsia="仿宋_GB2312"/>
          <w:color w:val="auto"/>
          <w:sz w:val="32"/>
        </w:rPr>
      </w:pPr>
      <w:r>
        <w:rPr>
          <w:rFonts w:hint="eastAsia" w:ascii="黑体" w:hAnsi="黑体" w:eastAsia="黑体" w:cs="黑体"/>
          <w:color w:val="auto"/>
          <w:sz w:val="32"/>
        </w:rPr>
        <w:t>第四条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有合作意向的新媒体营销主体向风景区融媒体中心申报，初审合格后填写申请表格，并提交申请表、营业执照、企业法人身份证（含实际运营企业）、运营团队人员信息等书面材料。</w:t>
      </w:r>
    </w:p>
    <w:p w14:paraId="39D8EDDC">
      <w:pPr>
        <w:ind w:firstLine="640" w:firstLineChars="200"/>
        <w:rPr>
          <w:rFonts w:ascii="仿宋_GB2312" w:eastAsia="仿宋_GB2312"/>
          <w:color w:val="auto"/>
          <w:sz w:val="32"/>
        </w:rPr>
      </w:pPr>
      <w:r>
        <w:rPr>
          <w:rFonts w:hint="eastAsia" w:ascii="黑体" w:hAnsi="黑体" w:eastAsia="黑体" w:cs="黑体"/>
          <w:color w:val="auto"/>
          <w:sz w:val="32"/>
        </w:rPr>
        <w:t>第五条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风景区宣传、文旅、市场监管、公安、门票、融媒体等部门单位依据各自职能对新媒体营销主体进行审核，符合以下条件，并经3个工作日公示后无异议的，列为合作对象：</w:t>
      </w:r>
    </w:p>
    <w:p w14:paraId="5229E97D">
      <w:pPr>
        <w:ind w:firstLine="640" w:firstLineChars="200"/>
        <w:rPr>
          <w:rFonts w:ascii="仿宋_GB2312" w:eastAsia="仿宋_GB2312"/>
          <w:color w:val="auto"/>
          <w:sz w:val="32"/>
        </w:rPr>
      </w:pPr>
      <w:r>
        <w:rPr>
          <w:rFonts w:hint="eastAsia" w:ascii="仿宋_GB2312" w:eastAsia="仿宋_GB2312"/>
          <w:color w:val="auto"/>
          <w:sz w:val="32"/>
        </w:rPr>
        <w:t>（一）市场主体合法，无违法犯罪记录；</w:t>
      </w:r>
    </w:p>
    <w:p w14:paraId="2CEF3A2D">
      <w:pPr>
        <w:ind w:firstLine="640" w:firstLineChars="200"/>
        <w:rPr>
          <w:rFonts w:ascii="仿宋_GB2312" w:eastAsia="仿宋_GB2312"/>
          <w:color w:val="auto"/>
          <w:sz w:val="32"/>
        </w:rPr>
      </w:pPr>
      <w:r>
        <w:rPr>
          <w:rFonts w:hint="eastAsia" w:ascii="仿宋_GB2312" w:eastAsia="仿宋_GB2312"/>
          <w:color w:val="auto"/>
          <w:sz w:val="32"/>
        </w:rPr>
        <w:t>（二）信用状况良好；</w:t>
      </w:r>
    </w:p>
    <w:p w14:paraId="70979B0C">
      <w:pPr>
        <w:ind w:firstLine="640" w:firstLineChars="200"/>
        <w:rPr>
          <w:rFonts w:ascii="仿宋_GB2312" w:eastAsia="仿宋_GB2312"/>
          <w:color w:val="auto"/>
          <w:sz w:val="32"/>
        </w:rPr>
      </w:pPr>
      <w:r>
        <w:rPr>
          <w:rFonts w:hint="eastAsia" w:ascii="仿宋_GB2312" w:eastAsia="仿宋_GB2312"/>
          <w:color w:val="auto"/>
          <w:sz w:val="32"/>
        </w:rPr>
        <w:t>（三）具备新媒体创作、销售能力和营销经历。</w:t>
      </w:r>
    </w:p>
    <w:p w14:paraId="03241F3D">
      <w:pPr>
        <w:ind w:firstLine="640" w:firstLineChars="200"/>
        <w:rPr>
          <w:rFonts w:ascii="仿宋_GB2312" w:eastAsia="仿宋_GB2312"/>
          <w:color w:val="auto"/>
          <w:sz w:val="32"/>
        </w:rPr>
      </w:pPr>
      <w:r>
        <w:rPr>
          <w:rFonts w:hint="eastAsia" w:ascii="黑体" w:hAnsi="黑体" w:eastAsia="黑体" w:cs="黑体"/>
          <w:color w:val="auto"/>
          <w:sz w:val="32"/>
        </w:rPr>
        <w:t>第六条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风景区仅接受符合条件的企业或个人单独申请批量购买门票（以下门票均指日历票，当日有效），不接受多家企业或个人以联合体的形式申请。</w:t>
      </w:r>
    </w:p>
    <w:p w14:paraId="1BCF0EA6">
      <w:pPr>
        <w:ind w:firstLine="640" w:firstLineChars="200"/>
        <w:rPr>
          <w:rFonts w:ascii="仿宋_GB2312" w:eastAsia="仿宋_GB2312"/>
          <w:color w:val="auto"/>
          <w:sz w:val="32"/>
        </w:rPr>
      </w:pPr>
      <w:r>
        <w:rPr>
          <w:rFonts w:hint="eastAsia" w:ascii="黑体" w:hAnsi="黑体" w:eastAsia="黑体" w:cs="黑体"/>
          <w:color w:val="auto"/>
          <w:sz w:val="32"/>
        </w:rPr>
        <w:t>第七条</w:t>
      </w:r>
      <w:r>
        <w:rPr>
          <w:rFonts w:hint="eastAsia" w:ascii="仿宋_GB2312" w:hAnsi="黑体" w:eastAsia="仿宋_GB2312" w:cs="黑体"/>
          <w:color w:val="auto"/>
          <w:sz w:val="32"/>
        </w:rPr>
        <w:t xml:space="preserve">  </w:t>
      </w:r>
      <w:r>
        <w:rPr>
          <w:rFonts w:hint="eastAsia" w:ascii="仿宋_GB2312" w:eastAsia="仿宋_GB2312"/>
          <w:color w:val="auto"/>
          <w:sz w:val="32"/>
        </w:rPr>
        <w:t>融媒体中心代表风景区与合作对象拟定合作协议意向书，经宣传、文旅、市场监管、公安、门票等部门单位审查同意后，由融媒体中心代表风景区与其签订正式合作协议书，合作对象以一次性预付票款的方式定额定量购买景区门票。预付票款相对应的门票仅用于协议约定的新媒体渠道（账号）销售。</w:t>
      </w:r>
    </w:p>
    <w:p w14:paraId="7171C594">
      <w:pPr>
        <w:ind w:firstLine="640" w:firstLineChars="200"/>
        <w:rPr>
          <w:rFonts w:ascii="仿宋_GB2312" w:eastAsia="仿宋_GB2312"/>
          <w:color w:val="auto"/>
          <w:sz w:val="32"/>
        </w:rPr>
      </w:pPr>
      <w:r>
        <w:rPr>
          <w:rFonts w:hint="eastAsia" w:ascii="黑体" w:hAnsi="黑体" w:eastAsia="黑体" w:cs="黑体"/>
          <w:color w:val="auto"/>
          <w:sz w:val="32"/>
        </w:rPr>
        <w:t>第八条</w:t>
      </w:r>
      <w:r>
        <w:rPr>
          <w:rFonts w:hint="eastAsia" w:ascii="仿宋_GB2312" w:eastAsia="仿宋_GB2312"/>
          <w:color w:val="auto"/>
          <w:sz w:val="32"/>
        </w:rPr>
        <w:t xml:space="preserve">  已签约新媒体营销主体</w:t>
      </w:r>
      <w:r>
        <w:rPr>
          <w:rFonts w:ascii="仿宋_GB2312" w:eastAsia="仿宋_GB2312"/>
          <w:color w:val="auto"/>
          <w:sz w:val="32"/>
        </w:rPr>
        <w:t>以本办法为准，</w:t>
      </w:r>
      <w:r>
        <w:rPr>
          <w:rFonts w:hint="eastAsia" w:ascii="仿宋_GB2312" w:eastAsia="仿宋_GB2312"/>
          <w:color w:val="auto"/>
          <w:sz w:val="32"/>
        </w:rPr>
        <w:t>不享受本办法以外的风景区其他门票和宣传奖励政策。</w:t>
      </w:r>
    </w:p>
    <w:p w14:paraId="34B5B65A">
      <w:pPr>
        <w:ind w:firstLine="640" w:firstLineChars="200"/>
        <w:rPr>
          <w:rFonts w:ascii="仿宋_GB2312" w:eastAsia="仿宋_GB2312"/>
          <w:color w:val="auto"/>
          <w:sz w:val="32"/>
        </w:rPr>
      </w:pPr>
      <w:r>
        <w:rPr>
          <w:rFonts w:hint="eastAsia" w:ascii="黑体" w:hAnsi="黑体" w:eastAsia="黑体" w:cs="黑体"/>
          <w:color w:val="auto"/>
          <w:sz w:val="32"/>
        </w:rPr>
        <w:t>第九条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风景区全年新媒体渠道对新媒体营销主体批量销售门票设定限额为1.6亿元，奖励资金不超过0.2亿元。</w:t>
      </w:r>
    </w:p>
    <w:p w14:paraId="3A2170A4">
      <w:pPr>
        <w:numPr>
          <w:ilvl w:val="0"/>
          <w:numId w:val="1"/>
        </w:numPr>
        <w:ind w:firstLine="640" w:firstLineChars="200"/>
        <w:rPr>
          <w:rFonts w:ascii="仿宋_GB2312" w:eastAsia="仿宋_GB2312"/>
          <w:color w:val="auto"/>
          <w:sz w:val="32"/>
        </w:rPr>
      </w:pPr>
      <w:r>
        <w:rPr>
          <w:rFonts w:hint="eastAsia" w:ascii="仿宋_GB2312" w:eastAsia="仿宋_GB2312"/>
          <w:color w:val="auto"/>
          <w:sz w:val="32"/>
        </w:rPr>
        <w:t xml:space="preserve"> 风景区对新媒体营销主体销售门票奖励标准（表中不含上限），具体如下：</w:t>
      </w:r>
    </w:p>
    <w:tbl>
      <w:tblPr>
        <w:tblStyle w:val="6"/>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1"/>
        <w:gridCol w:w="3626"/>
        <w:gridCol w:w="3694"/>
      </w:tblGrid>
      <w:tr w14:paraId="0941D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1591" w:type="dxa"/>
            <w:vAlign w:val="center"/>
          </w:tcPr>
          <w:p w14:paraId="660BAF20">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序号</w:t>
            </w:r>
          </w:p>
        </w:tc>
        <w:tc>
          <w:tcPr>
            <w:tcW w:w="3626" w:type="dxa"/>
            <w:vAlign w:val="center"/>
          </w:tcPr>
          <w:p w14:paraId="694A3FBB">
            <w:pPr>
              <w:jc w:val="center"/>
              <w:rPr>
                <w:rFonts w:hint="eastAsia" w:ascii="仿宋_GB2312" w:hAnsi="黑体" w:eastAsia="仿宋_GB2312" w:cs="Times New Roman"/>
                <w:color w:val="auto"/>
                <w:kern w:val="0"/>
                <w:sz w:val="28"/>
                <w:szCs w:val="28"/>
              </w:rPr>
            </w:pPr>
            <w:bookmarkStart w:id="0" w:name="_Hlk174209440"/>
            <w:r>
              <w:rPr>
                <w:rFonts w:hint="eastAsia" w:ascii="仿宋_GB2312" w:hAnsi="黑体" w:eastAsia="仿宋_GB2312" w:cs="Times New Roman"/>
                <w:color w:val="auto"/>
                <w:kern w:val="0"/>
                <w:sz w:val="28"/>
                <w:szCs w:val="28"/>
              </w:rPr>
              <w:t>单次预付票款</w:t>
            </w:r>
            <w:bookmarkEnd w:id="0"/>
            <w:r>
              <w:rPr>
                <w:rFonts w:hint="eastAsia" w:ascii="仿宋_GB2312" w:hAnsi="黑体" w:eastAsia="仿宋_GB2312" w:cs="Times New Roman"/>
                <w:color w:val="auto"/>
                <w:kern w:val="0"/>
                <w:sz w:val="28"/>
                <w:szCs w:val="28"/>
              </w:rPr>
              <w:t>（万元）</w:t>
            </w:r>
          </w:p>
        </w:tc>
        <w:tc>
          <w:tcPr>
            <w:tcW w:w="3694" w:type="dxa"/>
            <w:vAlign w:val="center"/>
          </w:tcPr>
          <w:p w14:paraId="607BD25B">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奖励资金（万元）</w:t>
            </w:r>
          </w:p>
        </w:tc>
      </w:tr>
      <w:tr w14:paraId="0EA30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91" w:type="dxa"/>
            <w:vAlign w:val="center"/>
          </w:tcPr>
          <w:p w14:paraId="3EBCB198">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1</w:t>
            </w:r>
          </w:p>
        </w:tc>
        <w:tc>
          <w:tcPr>
            <w:tcW w:w="3626" w:type="dxa"/>
            <w:vAlign w:val="center"/>
          </w:tcPr>
          <w:p w14:paraId="67F5E3A4">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500-1000</w:t>
            </w:r>
          </w:p>
        </w:tc>
        <w:tc>
          <w:tcPr>
            <w:tcW w:w="3694" w:type="dxa"/>
            <w:vAlign w:val="center"/>
          </w:tcPr>
          <w:p w14:paraId="5F2AF919">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25</w:t>
            </w:r>
          </w:p>
        </w:tc>
      </w:tr>
      <w:tr w14:paraId="71CA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591" w:type="dxa"/>
            <w:vAlign w:val="center"/>
          </w:tcPr>
          <w:p w14:paraId="1FE40DB6">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2</w:t>
            </w:r>
          </w:p>
        </w:tc>
        <w:tc>
          <w:tcPr>
            <w:tcW w:w="3626" w:type="dxa"/>
            <w:vAlign w:val="center"/>
          </w:tcPr>
          <w:p w14:paraId="0AEEC1A8">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1000-1500</w:t>
            </w:r>
          </w:p>
        </w:tc>
        <w:tc>
          <w:tcPr>
            <w:tcW w:w="3694" w:type="dxa"/>
            <w:vAlign w:val="center"/>
          </w:tcPr>
          <w:p w14:paraId="048808E6">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75</w:t>
            </w:r>
          </w:p>
        </w:tc>
      </w:tr>
      <w:tr w14:paraId="28CA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91" w:type="dxa"/>
            <w:vAlign w:val="center"/>
          </w:tcPr>
          <w:p w14:paraId="72907152">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3</w:t>
            </w:r>
          </w:p>
        </w:tc>
        <w:tc>
          <w:tcPr>
            <w:tcW w:w="3626" w:type="dxa"/>
            <w:vAlign w:val="center"/>
          </w:tcPr>
          <w:p w14:paraId="2A585E09">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1500-2000</w:t>
            </w:r>
          </w:p>
        </w:tc>
        <w:tc>
          <w:tcPr>
            <w:tcW w:w="3694" w:type="dxa"/>
            <w:vAlign w:val="center"/>
          </w:tcPr>
          <w:p w14:paraId="1B1C53DE">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150</w:t>
            </w:r>
          </w:p>
        </w:tc>
      </w:tr>
      <w:tr w14:paraId="2922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91" w:type="dxa"/>
            <w:vAlign w:val="center"/>
          </w:tcPr>
          <w:p w14:paraId="6D833B82">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4</w:t>
            </w:r>
          </w:p>
        </w:tc>
        <w:tc>
          <w:tcPr>
            <w:tcW w:w="3626" w:type="dxa"/>
            <w:vAlign w:val="center"/>
          </w:tcPr>
          <w:p w14:paraId="5E8EEAF4">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≥2000</w:t>
            </w:r>
          </w:p>
        </w:tc>
        <w:tc>
          <w:tcPr>
            <w:tcW w:w="3694" w:type="dxa"/>
            <w:vAlign w:val="center"/>
          </w:tcPr>
          <w:p w14:paraId="2BD86EE1">
            <w:pPr>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250</w:t>
            </w:r>
          </w:p>
        </w:tc>
      </w:tr>
    </w:tbl>
    <w:p w14:paraId="5D12787D">
      <w:pPr>
        <w:numPr>
          <w:ilvl w:val="0"/>
          <w:numId w:val="2"/>
        </w:numPr>
        <w:ind w:firstLine="640" w:firstLineChars="200"/>
        <w:rPr>
          <w:rFonts w:ascii="仿宋_GB2312" w:eastAsia="仿宋_GB2312"/>
          <w:color w:val="auto"/>
          <w:sz w:val="32"/>
        </w:rPr>
      </w:pPr>
      <w:r>
        <w:rPr>
          <w:rFonts w:hint="eastAsia" w:ascii="仿宋_GB2312" w:eastAsia="仿宋_GB2312"/>
          <w:color w:val="auto"/>
          <w:sz w:val="32"/>
        </w:rPr>
        <w:t xml:space="preserve"> 新媒体营销主体应完成奖励资金对应的新媒体宣传任务，具体如下：</w:t>
      </w:r>
    </w:p>
    <w:tbl>
      <w:tblPr>
        <w:tblStyle w:val="6"/>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79"/>
        <w:gridCol w:w="1985"/>
        <w:gridCol w:w="1984"/>
        <w:gridCol w:w="1912"/>
      </w:tblGrid>
      <w:tr w14:paraId="770A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51" w:type="dxa"/>
            <w:vAlign w:val="center"/>
          </w:tcPr>
          <w:p w14:paraId="67C513E1">
            <w:pPr>
              <w:spacing w:line="0" w:lineRule="atLeast"/>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序号</w:t>
            </w:r>
          </w:p>
        </w:tc>
        <w:tc>
          <w:tcPr>
            <w:tcW w:w="1979" w:type="dxa"/>
            <w:vAlign w:val="center"/>
          </w:tcPr>
          <w:p w14:paraId="0E989534">
            <w:pPr>
              <w:spacing w:line="0" w:lineRule="atLeast"/>
              <w:jc w:val="center"/>
              <w:rPr>
                <w:rFonts w:hint="eastAsia" w:ascii="仿宋_GB2312" w:hAnsi="黑体" w:eastAsia="仿宋_GB2312" w:cs="Times New Roman"/>
                <w:color w:val="auto"/>
                <w:sz w:val="28"/>
                <w:szCs w:val="28"/>
              </w:rPr>
            </w:pPr>
            <w:r>
              <w:rPr>
                <w:rFonts w:hint="eastAsia" w:ascii="仿宋_GB2312" w:hAnsi="黑体" w:eastAsia="仿宋_GB2312" w:cs="Times New Roman"/>
                <w:color w:val="auto"/>
                <w:sz w:val="28"/>
                <w:szCs w:val="28"/>
              </w:rPr>
              <w:t>奖励资金</w:t>
            </w:r>
          </w:p>
          <w:p w14:paraId="0EA0A60A">
            <w:pPr>
              <w:spacing w:line="0" w:lineRule="atLeast"/>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sz w:val="28"/>
                <w:szCs w:val="28"/>
              </w:rPr>
              <w:t>（万元）</w:t>
            </w:r>
          </w:p>
        </w:tc>
        <w:tc>
          <w:tcPr>
            <w:tcW w:w="1985" w:type="dxa"/>
            <w:vAlign w:val="center"/>
          </w:tcPr>
          <w:p w14:paraId="440E7F4F">
            <w:pPr>
              <w:spacing w:line="0" w:lineRule="atLeast"/>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播放量</w:t>
            </w:r>
          </w:p>
          <w:p w14:paraId="7B36E3F2">
            <w:pPr>
              <w:spacing w:line="0" w:lineRule="atLeast"/>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（万次）</w:t>
            </w:r>
          </w:p>
        </w:tc>
        <w:tc>
          <w:tcPr>
            <w:tcW w:w="1984" w:type="dxa"/>
            <w:vAlign w:val="center"/>
          </w:tcPr>
          <w:p w14:paraId="03D3AA7C">
            <w:pPr>
              <w:spacing w:line="0" w:lineRule="atLeast"/>
              <w:jc w:val="center"/>
              <w:rPr>
                <w:rFonts w:hint="eastAsia" w:ascii="仿宋_GB2312" w:hAnsi="黑体" w:eastAsia="仿宋_GB2312" w:cs="Times New Roman"/>
                <w:color w:val="auto"/>
                <w:kern w:val="0"/>
                <w:sz w:val="28"/>
                <w:szCs w:val="28"/>
              </w:rPr>
            </w:pPr>
            <w:bookmarkStart w:id="1" w:name="_Hlk179615746"/>
            <w:r>
              <w:rPr>
                <w:rFonts w:hint="eastAsia" w:ascii="仿宋_GB2312" w:hAnsi="黑体" w:eastAsia="仿宋_GB2312" w:cs="Times New Roman"/>
                <w:color w:val="auto"/>
                <w:kern w:val="0"/>
                <w:sz w:val="28"/>
                <w:szCs w:val="28"/>
              </w:rPr>
              <w:t>视频数/图文</w:t>
            </w:r>
          </w:p>
          <w:bookmarkEnd w:id="1"/>
          <w:p w14:paraId="6A401C5A">
            <w:pPr>
              <w:spacing w:line="0" w:lineRule="atLeast"/>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（条）</w:t>
            </w:r>
          </w:p>
        </w:tc>
        <w:tc>
          <w:tcPr>
            <w:tcW w:w="1912" w:type="dxa"/>
            <w:vAlign w:val="center"/>
          </w:tcPr>
          <w:p w14:paraId="388CA993">
            <w:pPr>
              <w:spacing w:line="0" w:lineRule="atLeast"/>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直播时长</w:t>
            </w:r>
          </w:p>
          <w:p w14:paraId="07523011">
            <w:pPr>
              <w:spacing w:line="0" w:lineRule="atLeast"/>
              <w:jc w:val="center"/>
              <w:rPr>
                <w:rFonts w:hint="eastAsia" w:ascii="仿宋_GB2312" w:hAnsi="黑体" w:eastAsia="仿宋_GB2312" w:cs="Times New Roman"/>
                <w:color w:val="auto"/>
                <w:kern w:val="0"/>
                <w:sz w:val="28"/>
                <w:szCs w:val="28"/>
              </w:rPr>
            </w:pPr>
            <w:r>
              <w:rPr>
                <w:rFonts w:hint="eastAsia" w:ascii="仿宋_GB2312" w:hAnsi="黑体" w:eastAsia="仿宋_GB2312" w:cs="Times New Roman"/>
                <w:color w:val="auto"/>
                <w:kern w:val="0"/>
                <w:sz w:val="28"/>
                <w:szCs w:val="28"/>
              </w:rPr>
              <w:t>（小时）</w:t>
            </w:r>
          </w:p>
        </w:tc>
      </w:tr>
      <w:tr w14:paraId="242A4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851" w:type="dxa"/>
            <w:vAlign w:val="center"/>
          </w:tcPr>
          <w:p w14:paraId="702109EA">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w:t>
            </w:r>
          </w:p>
        </w:tc>
        <w:tc>
          <w:tcPr>
            <w:tcW w:w="1979" w:type="dxa"/>
            <w:vAlign w:val="center"/>
          </w:tcPr>
          <w:p w14:paraId="3E864EDE">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25</w:t>
            </w:r>
          </w:p>
        </w:tc>
        <w:tc>
          <w:tcPr>
            <w:tcW w:w="1985" w:type="dxa"/>
          </w:tcPr>
          <w:p w14:paraId="418C740A">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1250</w:t>
            </w:r>
          </w:p>
        </w:tc>
        <w:tc>
          <w:tcPr>
            <w:tcW w:w="1984" w:type="dxa"/>
            <w:vAlign w:val="center"/>
          </w:tcPr>
          <w:p w14:paraId="444C71DC">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30</w:t>
            </w:r>
          </w:p>
        </w:tc>
        <w:tc>
          <w:tcPr>
            <w:tcW w:w="1912" w:type="dxa"/>
            <w:tcBorders>
              <w:top w:val="single" w:color="auto" w:sz="4" w:space="0"/>
              <w:left w:val="single" w:color="auto" w:sz="4" w:space="0"/>
              <w:bottom w:val="single" w:color="auto" w:sz="4" w:space="0"/>
              <w:right w:val="single" w:color="auto" w:sz="4" w:space="0"/>
            </w:tcBorders>
            <w:vAlign w:val="center"/>
          </w:tcPr>
          <w:p w14:paraId="43B8D0AD">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30</w:t>
            </w:r>
          </w:p>
        </w:tc>
      </w:tr>
      <w:tr w14:paraId="71DB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51" w:type="dxa"/>
            <w:vAlign w:val="center"/>
          </w:tcPr>
          <w:p w14:paraId="0538A78A">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2</w:t>
            </w:r>
          </w:p>
        </w:tc>
        <w:tc>
          <w:tcPr>
            <w:tcW w:w="1979" w:type="dxa"/>
            <w:vAlign w:val="center"/>
          </w:tcPr>
          <w:p w14:paraId="69800749">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75</w:t>
            </w:r>
          </w:p>
        </w:tc>
        <w:tc>
          <w:tcPr>
            <w:tcW w:w="1985" w:type="dxa"/>
          </w:tcPr>
          <w:p w14:paraId="6FA47786">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3750</w:t>
            </w:r>
          </w:p>
        </w:tc>
        <w:tc>
          <w:tcPr>
            <w:tcW w:w="1984" w:type="dxa"/>
            <w:vAlign w:val="center"/>
          </w:tcPr>
          <w:p w14:paraId="138A4120">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100</w:t>
            </w:r>
          </w:p>
        </w:tc>
        <w:tc>
          <w:tcPr>
            <w:tcW w:w="1912" w:type="dxa"/>
            <w:tcBorders>
              <w:top w:val="nil"/>
              <w:left w:val="single" w:color="auto" w:sz="4" w:space="0"/>
              <w:bottom w:val="single" w:color="auto" w:sz="4" w:space="0"/>
              <w:right w:val="single" w:color="auto" w:sz="4" w:space="0"/>
            </w:tcBorders>
            <w:vAlign w:val="center"/>
          </w:tcPr>
          <w:p w14:paraId="39F11C67">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80</w:t>
            </w:r>
          </w:p>
        </w:tc>
      </w:tr>
      <w:tr w14:paraId="6C430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51" w:type="dxa"/>
            <w:vAlign w:val="center"/>
          </w:tcPr>
          <w:p w14:paraId="086276DB">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3</w:t>
            </w:r>
          </w:p>
        </w:tc>
        <w:tc>
          <w:tcPr>
            <w:tcW w:w="1979" w:type="dxa"/>
            <w:vAlign w:val="center"/>
          </w:tcPr>
          <w:p w14:paraId="447658FE">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150</w:t>
            </w:r>
          </w:p>
        </w:tc>
        <w:tc>
          <w:tcPr>
            <w:tcW w:w="1985" w:type="dxa"/>
          </w:tcPr>
          <w:p w14:paraId="0B40F346">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7500</w:t>
            </w:r>
          </w:p>
        </w:tc>
        <w:tc>
          <w:tcPr>
            <w:tcW w:w="1984" w:type="dxa"/>
            <w:vAlign w:val="center"/>
          </w:tcPr>
          <w:p w14:paraId="55C18697">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170</w:t>
            </w:r>
          </w:p>
        </w:tc>
        <w:tc>
          <w:tcPr>
            <w:tcW w:w="1912" w:type="dxa"/>
            <w:tcBorders>
              <w:top w:val="nil"/>
              <w:left w:val="single" w:color="auto" w:sz="4" w:space="0"/>
              <w:bottom w:val="single" w:color="auto" w:sz="4" w:space="0"/>
              <w:right w:val="single" w:color="auto" w:sz="4" w:space="0"/>
            </w:tcBorders>
            <w:vAlign w:val="center"/>
          </w:tcPr>
          <w:p w14:paraId="7C55379A">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130</w:t>
            </w:r>
          </w:p>
        </w:tc>
      </w:tr>
      <w:tr w14:paraId="57B1F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51" w:type="dxa"/>
            <w:vAlign w:val="center"/>
          </w:tcPr>
          <w:p w14:paraId="63473AF2">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4</w:t>
            </w:r>
          </w:p>
        </w:tc>
        <w:tc>
          <w:tcPr>
            <w:tcW w:w="1979" w:type="dxa"/>
            <w:vAlign w:val="center"/>
          </w:tcPr>
          <w:p w14:paraId="3EAD4F60">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250</w:t>
            </w:r>
          </w:p>
        </w:tc>
        <w:tc>
          <w:tcPr>
            <w:tcW w:w="1985" w:type="dxa"/>
          </w:tcPr>
          <w:p w14:paraId="19CADA36">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12500</w:t>
            </w:r>
          </w:p>
        </w:tc>
        <w:tc>
          <w:tcPr>
            <w:tcW w:w="1984" w:type="dxa"/>
            <w:vAlign w:val="center"/>
          </w:tcPr>
          <w:p w14:paraId="16221646">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240</w:t>
            </w:r>
          </w:p>
        </w:tc>
        <w:tc>
          <w:tcPr>
            <w:tcW w:w="1912" w:type="dxa"/>
            <w:tcBorders>
              <w:top w:val="nil"/>
              <w:left w:val="single" w:color="auto" w:sz="4" w:space="0"/>
              <w:bottom w:val="single" w:color="auto" w:sz="4" w:space="0"/>
              <w:right w:val="single" w:color="auto" w:sz="4" w:space="0"/>
            </w:tcBorders>
            <w:vAlign w:val="center"/>
          </w:tcPr>
          <w:p w14:paraId="34BD27F0">
            <w:pPr>
              <w:jc w:val="center"/>
              <w:rPr>
                <w:rFonts w:ascii="仿宋_GB2312" w:hAnsi="Times New Roman" w:eastAsia="仿宋_GB2312" w:cs="Times New Roman"/>
                <w:color w:val="auto"/>
                <w:spacing w:val="20"/>
                <w:kern w:val="13"/>
                <w:sz w:val="28"/>
                <w:szCs w:val="28"/>
              </w:rPr>
            </w:pPr>
            <w:r>
              <w:rPr>
                <w:rFonts w:hint="eastAsia" w:ascii="仿宋_GB2312" w:hAnsi="Times New Roman" w:eastAsia="仿宋_GB2312" w:cs="Times New Roman"/>
                <w:color w:val="auto"/>
                <w:spacing w:val="20"/>
                <w:kern w:val="13"/>
                <w:sz w:val="28"/>
                <w:szCs w:val="28"/>
              </w:rPr>
              <w:t>180</w:t>
            </w:r>
          </w:p>
        </w:tc>
      </w:tr>
    </w:tbl>
    <w:p w14:paraId="61833132">
      <w:pPr>
        <w:numPr>
          <w:ilvl w:val="0"/>
          <w:numId w:val="2"/>
        </w:numPr>
        <w:ind w:firstLine="640" w:firstLineChars="200"/>
        <w:rPr>
          <w:rFonts w:ascii="仿宋_GB2312" w:eastAsia="仿宋_GB2312"/>
          <w:color w:val="auto"/>
          <w:sz w:val="32"/>
        </w:rPr>
      </w:pPr>
      <w:r>
        <w:rPr>
          <w:rFonts w:hint="eastAsia" w:ascii="仿宋_GB2312" w:eastAsia="仿宋_GB2312"/>
          <w:color w:val="auto"/>
          <w:sz w:val="32"/>
        </w:rPr>
        <w:t xml:space="preserve"> 奖励资金包含制作优质短视频、直播、引流推广、软件服务、互联网支付及过渡资金等产生的成本费用。</w:t>
      </w:r>
    </w:p>
    <w:p w14:paraId="01034347">
      <w:pPr>
        <w:ind w:firstLine="640" w:firstLineChars="200"/>
        <w:rPr>
          <w:rFonts w:ascii="仿宋_GB2312" w:eastAsia="仿宋_GB2312"/>
          <w:color w:val="auto"/>
          <w:sz w:val="32"/>
        </w:rPr>
      </w:pPr>
      <w:r>
        <w:rPr>
          <w:rFonts w:hint="eastAsia" w:ascii="仿宋_GB2312" w:eastAsia="仿宋_GB2312"/>
          <w:color w:val="auto"/>
          <w:sz w:val="32"/>
        </w:rPr>
        <w:t>新媒体营销主体在多个新媒体平台账号所产生的宣传数据可累加，优质视频、图文不少于30%；举办宣传营销活动账号应提前3天向融媒体中心报备，活动涉及景区门票销售的应经门票管理中心审核通过后实施。</w:t>
      </w:r>
    </w:p>
    <w:p w14:paraId="7538B4C9">
      <w:pPr>
        <w:ind w:firstLine="640" w:firstLineChars="200"/>
        <w:rPr>
          <w:rFonts w:ascii="仿宋_GB2312" w:eastAsia="仿宋_GB2312"/>
          <w:color w:val="auto"/>
          <w:sz w:val="32"/>
        </w:rPr>
      </w:pPr>
      <w:r>
        <w:rPr>
          <w:rFonts w:hint="eastAsia" w:ascii="仿宋_GB2312" w:eastAsia="仿宋_GB2312"/>
          <w:color w:val="auto"/>
          <w:sz w:val="32"/>
        </w:rPr>
        <w:t>新媒体营销主体应创新宣传方式，高标准、全方位、多元化参与构建“大宣传”矩阵，助力风景区品牌宣传推广。</w:t>
      </w:r>
    </w:p>
    <w:p w14:paraId="1B7C737E">
      <w:pPr>
        <w:ind w:firstLine="640" w:firstLineChars="200"/>
        <w:rPr>
          <w:rFonts w:ascii="仿宋_GB2312" w:eastAsia="仿宋_GB2312"/>
          <w:color w:val="auto"/>
          <w:sz w:val="32"/>
        </w:rPr>
      </w:pPr>
      <w:r>
        <w:rPr>
          <w:rFonts w:hint="eastAsia" w:ascii="黑体" w:hAnsi="黑体" w:eastAsia="黑体" w:cs="黑体"/>
          <w:color w:val="auto"/>
          <w:sz w:val="32"/>
        </w:rPr>
        <w:t>第十三条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新媒体营销主体根据自身宣传营销能力选择相应档位，</w:t>
      </w:r>
      <w:r>
        <w:rPr>
          <w:rFonts w:ascii="仿宋_GB2312" w:eastAsia="仿宋_GB2312"/>
          <w:color w:val="auto"/>
          <w:sz w:val="32"/>
        </w:rPr>
        <w:t>按所选档位一次性全额预付票款（续约情形除外）</w:t>
      </w:r>
      <w:r>
        <w:rPr>
          <w:rFonts w:hint="eastAsia" w:ascii="仿宋_GB2312" w:eastAsia="仿宋_GB2312"/>
          <w:color w:val="auto"/>
          <w:sz w:val="32"/>
        </w:rPr>
        <w:t>，售票周期最长为一年。一个周期内，完成售票任务和新媒体宣传任务的，给予奖励；未完成任务的，终止合作，不予奖励。确因政策变动、自然灾害等因素导致任务失败的，预付票款剩余资金和奖励资金按协议约定处置。</w:t>
      </w:r>
    </w:p>
    <w:p w14:paraId="10675A28">
      <w:pPr>
        <w:ind w:firstLine="640" w:firstLineChars="200"/>
        <w:rPr>
          <w:rFonts w:ascii="仿宋_GB2312" w:eastAsia="仿宋_GB2312"/>
          <w:color w:val="auto"/>
          <w:sz w:val="32"/>
        </w:rPr>
      </w:pPr>
      <w:r>
        <w:rPr>
          <w:rFonts w:hint="eastAsia" w:ascii="黑体" w:hAnsi="黑体" w:eastAsia="黑体" w:cs="黑体"/>
          <w:color w:val="auto"/>
          <w:sz w:val="32"/>
        </w:rPr>
        <w:t>第十四条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风景区门票管理中心统一管理新媒体营销主体批量购买的电子门票，为其设置专用销售链接，根据预付票款等额开通平台门票授信额度。新媒体营销主体利用专用销售链接销售产生的每笔票款，直接划转至新媒体营销主体的银行账户。新媒体营销主体每售出一张电子门票，票务系统提供唯一的电子凭证。 </w:t>
      </w:r>
    </w:p>
    <w:p w14:paraId="67FA588A">
      <w:pPr>
        <w:ind w:firstLine="640" w:firstLineChars="200"/>
        <w:rPr>
          <w:rFonts w:ascii="仿宋_GB2312" w:eastAsia="仿宋_GB2312"/>
          <w:color w:val="auto"/>
          <w:sz w:val="32"/>
        </w:rPr>
      </w:pPr>
      <w:r>
        <w:rPr>
          <w:rFonts w:hint="eastAsia" w:ascii="黑体" w:hAnsi="黑体" w:eastAsia="黑体" w:cs="黑体"/>
          <w:color w:val="auto"/>
          <w:sz w:val="32"/>
        </w:rPr>
        <w:t>第十五条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新媒体营销主体预付票款金额对应的门票授信额度达线时，新媒体宣传营销账号下门票销售将自动停止。新媒体营销主体预付票款金额对应的门票授信额度使用接近80%时或距离本期协议终止之日60日前，应以书面形式明确续约或终止合作意愿；当本期授信额度使用达90%及以上时，须提前增补过渡资金、完成预充值，并确定下期预付款档位，保障售票任务完成、平稳接续。</w:t>
      </w:r>
    </w:p>
    <w:p w14:paraId="6FE6CA7B">
      <w:pPr>
        <w:ind w:firstLine="640" w:firstLineChars="200"/>
        <w:rPr>
          <w:rFonts w:ascii="仿宋_GB2312" w:eastAsia="仿宋_GB2312"/>
          <w:color w:val="auto"/>
          <w:sz w:val="32"/>
        </w:rPr>
      </w:pPr>
      <w:r>
        <w:rPr>
          <w:rFonts w:hint="eastAsia" w:ascii="黑体" w:hAnsi="黑体" w:eastAsia="黑体" w:cs="黑体"/>
          <w:color w:val="auto"/>
          <w:sz w:val="32"/>
        </w:rPr>
        <w:t>第十六条</w:t>
      </w:r>
      <w:r>
        <w:rPr>
          <w:rFonts w:hint="eastAsia" w:ascii="仿宋_GB2312" w:eastAsia="仿宋_GB2312"/>
          <w:color w:val="auto"/>
          <w:sz w:val="32"/>
        </w:rPr>
        <w:t xml:space="preserve">  已完成上期宣传营销任务并申请续约的，上期结余资金及授信额度可结转至当期使用；新媒体营销主体须于10个工作日内完成协议续签并足额补齐预付款，新一轮合作周期自上期新媒体宣传营销任务完成之日起计算。</w:t>
      </w:r>
    </w:p>
    <w:p w14:paraId="11D4BE8F">
      <w:pPr>
        <w:ind w:firstLine="640" w:firstLineChars="200"/>
        <w:rPr>
          <w:rFonts w:ascii="仿宋_GB2312" w:eastAsia="仿宋_GB2312"/>
          <w:color w:val="auto"/>
          <w:sz w:val="32"/>
        </w:rPr>
      </w:pPr>
      <w:r>
        <w:rPr>
          <w:rFonts w:hint="eastAsia" w:ascii="仿宋_GB2312" w:eastAsia="仿宋_GB2312"/>
          <w:color w:val="auto"/>
          <w:sz w:val="32"/>
        </w:rPr>
        <w:t>未完成上期宣传营销任务但申请续约的，上期剩余预付票款及授信额度可继续结转使用。需保持售票不间断运营的，应在10个工作日内完成协议续签并补缴对应档位预付款，新一轮合作周期自上期期限届满次日起接续计算；申请暂停售票的，待新协议签订、预付款补缴到位后，方可启动下期新媒体宣传营销工作。</w:t>
      </w:r>
    </w:p>
    <w:p w14:paraId="4264F49A">
      <w:pPr>
        <w:pStyle w:val="2"/>
        <w:spacing w:after="0"/>
        <w:ind w:firstLine="640" w:firstLineChars="200"/>
        <w:rPr>
          <w:rFonts w:ascii="仿宋_GB2312" w:eastAsia="仿宋_GB2312"/>
          <w:color w:val="auto"/>
          <w:sz w:val="32"/>
        </w:rPr>
      </w:pPr>
      <w:r>
        <w:rPr>
          <w:rFonts w:hint="eastAsia" w:ascii="仿宋_GB2312" w:eastAsia="仿宋_GB2312"/>
          <w:color w:val="auto"/>
          <w:sz w:val="32"/>
        </w:rPr>
        <w:t>新媒体营销主体销售任务失败、期内协议终止或完成宣传营销任务后不再续约的，预付票款剩余资金或预充值过渡资金使用余额按协议约定无息退款。</w:t>
      </w:r>
    </w:p>
    <w:p w14:paraId="14AB432D">
      <w:pPr>
        <w:pStyle w:val="2"/>
        <w:spacing w:after="0"/>
        <w:ind w:firstLine="640" w:firstLineChars="200"/>
        <w:rPr>
          <w:rFonts w:ascii="仿宋_GB2312" w:eastAsia="仿宋_GB2312"/>
          <w:color w:val="auto"/>
          <w:sz w:val="32"/>
        </w:rPr>
      </w:pPr>
      <w:r>
        <w:rPr>
          <w:rFonts w:hint="eastAsia" w:ascii="黑体" w:hAnsi="黑体" w:eastAsia="黑体" w:cs="黑体"/>
          <w:color w:val="auto"/>
          <w:sz w:val="32"/>
        </w:rPr>
        <w:t>第十七条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新媒体营销主体一个周期内完成销售任务和新媒体宣传任务的，可按规定申请相关奖励。完成售票任务是指售票周期内所销售门票的</w:t>
      </w:r>
      <w:r>
        <w:rPr>
          <w:rFonts w:ascii="仿宋_GB2312" w:eastAsia="仿宋_GB2312"/>
          <w:color w:val="auto"/>
          <w:sz w:val="32"/>
        </w:rPr>
        <w:t>核销总额与对应档位预付票款总额一致</w:t>
      </w:r>
      <w:r>
        <w:rPr>
          <w:rFonts w:hint="eastAsia" w:ascii="仿宋_GB2312" w:eastAsia="仿宋_GB2312"/>
          <w:color w:val="auto"/>
          <w:sz w:val="32"/>
        </w:rPr>
        <w:t>。风景区宣传、文旅、市场监管、公安、门票、融媒体等部门单位组成考核组对新媒体营销主体进行综合考核评估，报请风景区相关会议研定，合格的予以奖励，不合格的不予奖励。其中门票数据、新媒体数据分别以门票管理中心、融媒体中心核定的最终数据为准。</w:t>
      </w:r>
    </w:p>
    <w:p w14:paraId="093CD09F">
      <w:pPr>
        <w:ind w:firstLine="640" w:firstLineChars="200"/>
        <w:rPr>
          <w:rFonts w:ascii="仿宋_GB2312" w:eastAsia="仿宋_GB2312"/>
          <w:color w:val="auto"/>
          <w:sz w:val="32"/>
        </w:rPr>
      </w:pPr>
      <w:r>
        <w:rPr>
          <w:rFonts w:hint="eastAsia" w:ascii="黑体" w:hAnsi="黑体" w:eastAsia="黑体" w:cs="黑体"/>
          <w:color w:val="auto"/>
          <w:sz w:val="32"/>
        </w:rPr>
        <w:t>第十八条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新媒体营销主体应主动服从风景区统一管理，严格遵守《中华人民共和国旅游法》《安徽省旅游条例》《互联网信息服务管理办法》《互联网宗教信息服务管理办法》等法律法规及风景区宣传、门票管理相关规章制度，如存在以下违法违规行为之一的，立即解除合作协议，不予奖励，不再合作：</w:t>
      </w:r>
    </w:p>
    <w:p w14:paraId="7D1C0ADF">
      <w:pPr>
        <w:ind w:firstLine="640" w:firstLineChars="200"/>
        <w:rPr>
          <w:rFonts w:ascii="仿宋_GB2312" w:eastAsia="仿宋_GB2312"/>
          <w:color w:val="auto"/>
          <w:sz w:val="32"/>
        </w:rPr>
      </w:pPr>
      <w:r>
        <w:rPr>
          <w:rFonts w:hint="eastAsia" w:ascii="仿宋_GB2312" w:eastAsia="仿宋_GB2312"/>
          <w:color w:val="auto"/>
          <w:sz w:val="32"/>
        </w:rPr>
        <w:t>（一）不按风景区门票价格政策销售的；</w:t>
      </w:r>
    </w:p>
    <w:p w14:paraId="3F8610D1">
      <w:pPr>
        <w:ind w:firstLine="640" w:firstLineChars="200"/>
        <w:rPr>
          <w:rFonts w:ascii="仿宋_GB2312" w:eastAsia="仿宋_GB2312"/>
          <w:color w:val="auto"/>
          <w:sz w:val="32"/>
        </w:rPr>
      </w:pPr>
      <w:r>
        <w:rPr>
          <w:rFonts w:hint="eastAsia" w:ascii="仿宋_GB2312" w:eastAsia="仿宋_GB2312"/>
          <w:color w:val="auto"/>
          <w:sz w:val="32"/>
        </w:rPr>
        <w:t>（二）不按约定方式销售的，包括但不限于非约定渠道（账号）销售、非约定产品等情形；</w:t>
      </w:r>
    </w:p>
    <w:p w14:paraId="1F50A2D3">
      <w:pPr>
        <w:ind w:firstLine="640" w:firstLineChars="200"/>
        <w:rPr>
          <w:rFonts w:ascii="仿宋_GB2312" w:eastAsia="仿宋_GB2312"/>
          <w:color w:val="auto"/>
          <w:sz w:val="32"/>
        </w:rPr>
      </w:pPr>
      <w:r>
        <w:rPr>
          <w:rFonts w:hint="eastAsia" w:ascii="仿宋_GB2312" w:eastAsia="仿宋_GB2312"/>
          <w:color w:val="auto"/>
          <w:sz w:val="32"/>
        </w:rPr>
        <w:t>（三）利用网络技术违规销售的，包括但不限于攻击票务系统、以技术手段篡改后台数据等情形；</w:t>
      </w:r>
    </w:p>
    <w:p w14:paraId="1CFB8635">
      <w:pPr>
        <w:ind w:firstLine="640" w:firstLineChars="200"/>
        <w:rPr>
          <w:rFonts w:ascii="仿宋_GB2312" w:eastAsia="仿宋_GB2312"/>
          <w:color w:val="auto"/>
          <w:sz w:val="32"/>
        </w:rPr>
      </w:pPr>
      <w:r>
        <w:rPr>
          <w:rFonts w:hint="eastAsia" w:ascii="仿宋_GB2312" w:eastAsia="仿宋_GB2312"/>
          <w:color w:val="auto"/>
          <w:sz w:val="32"/>
        </w:rPr>
        <w:t>（四）在负面视频、直播、图文植入售票链接销售的；</w:t>
      </w:r>
    </w:p>
    <w:p w14:paraId="78586C80">
      <w:pPr>
        <w:ind w:firstLine="640" w:firstLineChars="200"/>
        <w:rPr>
          <w:rFonts w:ascii="仿宋_GB2312" w:eastAsia="仿宋_GB2312"/>
          <w:color w:val="auto"/>
          <w:sz w:val="32"/>
        </w:rPr>
      </w:pPr>
      <w:r>
        <w:rPr>
          <w:rFonts w:hint="eastAsia" w:ascii="仿宋_GB2312" w:eastAsia="仿宋_GB2312"/>
          <w:color w:val="auto"/>
          <w:sz w:val="32"/>
        </w:rPr>
        <w:t>（五）开展虚假宣传或提供虚假宣传营销数据的；</w:t>
      </w:r>
    </w:p>
    <w:p w14:paraId="7347751D">
      <w:pPr>
        <w:ind w:firstLine="640" w:firstLineChars="200"/>
        <w:rPr>
          <w:rFonts w:ascii="仿宋_GB2312" w:eastAsia="仿宋_GB2312"/>
          <w:color w:val="auto"/>
          <w:sz w:val="32"/>
        </w:rPr>
      </w:pPr>
      <w:r>
        <w:rPr>
          <w:rFonts w:hint="eastAsia" w:ascii="仿宋_GB2312" w:eastAsia="仿宋_GB2312"/>
          <w:color w:val="auto"/>
          <w:sz w:val="32"/>
        </w:rPr>
        <w:t>（六）其他违法违规的行为。</w:t>
      </w:r>
    </w:p>
    <w:p w14:paraId="1764DB3D">
      <w:pPr>
        <w:ind w:firstLine="640" w:firstLineChars="200"/>
        <w:rPr>
          <w:rFonts w:ascii="仿宋_GB2312" w:eastAsia="仿宋_GB2312"/>
          <w:color w:val="auto"/>
          <w:sz w:val="32"/>
        </w:rPr>
      </w:pPr>
      <w:r>
        <w:rPr>
          <w:rFonts w:hint="eastAsia" w:ascii="仿宋_GB2312" w:eastAsia="仿宋_GB2312"/>
          <w:color w:val="auto"/>
          <w:sz w:val="32"/>
        </w:rPr>
        <w:t>对违法违规行为和造成舆情的，风景区将依法依规和按协议约定处置。</w:t>
      </w:r>
    </w:p>
    <w:p w14:paraId="133B76D3">
      <w:pPr>
        <w:ind w:firstLine="640" w:firstLineChars="200"/>
        <w:rPr>
          <w:rFonts w:ascii="仿宋_GB2312" w:eastAsia="仿宋_GB2312"/>
          <w:color w:val="auto"/>
          <w:sz w:val="32"/>
        </w:rPr>
      </w:pPr>
      <w:r>
        <w:rPr>
          <w:rFonts w:hint="eastAsia" w:ascii="黑体" w:hAnsi="黑体" w:eastAsia="黑体" w:cs="黑体"/>
          <w:color w:val="auto"/>
          <w:sz w:val="32"/>
        </w:rPr>
        <w:t>第十九条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风景区相关部门单位要依据职能加强新媒体营销主体宣传营销各环节监督管理。</w:t>
      </w:r>
    </w:p>
    <w:p w14:paraId="6B4A30F3">
      <w:pPr>
        <w:ind w:firstLine="640" w:firstLineChars="200"/>
        <w:rPr>
          <w:rFonts w:ascii="仿宋_GB2312" w:eastAsia="仿宋_GB2312"/>
          <w:color w:val="auto"/>
          <w:sz w:val="32"/>
        </w:rPr>
      </w:pPr>
      <w:r>
        <w:rPr>
          <w:rFonts w:hint="eastAsia" w:ascii="仿宋_GB2312" w:eastAsia="仿宋_GB2312"/>
          <w:color w:val="auto"/>
          <w:sz w:val="32"/>
        </w:rPr>
        <w:t>宣传部门加强对新媒体营销主体开展网络宣传工作的领导，引导加强内容建设，做强正面宣传，做好负面舆情监测处置；</w:t>
      </w:r>
    </w:p>
    <w:p w14:paraId="1844D23E">
      <w:pPr>
        <w:ind w:firstLine="640" w:firstLineChars="200"/>
        <w:rPr>
          <w:rFonts w:ascii="仿宋_GB2312" w:eastAsia="仿宋_GB2312"/>
          <w:color w:val="auto"/>
          <w:sz w:val="32"/>
        </w:rPr>
      </w:pPr>
      <w:r>
        <w:rPr>
          <w:rFonts w:hint="eastAsia" w:ascii="仿宋_GB2312" w:eastAsia="仿宋_GB2312"/>
          <w:color w:val="auto"/>
          <w:sz w:val="32"/>
        </w:rPr>
        <w:t>发改部门负责组织实施治理乱收费工作；</w:t>
      </w:r>
    </w:p>
    <w:p w14:paraId="234240A9">
      <w:pPr>
        <w:ind w:firstLine="640" w:firstLineChars="200"/>
        <w:rPr>
          <w:rFonts w:ascii="仿宋_GB2312" w:eastAsia="仿宋_GB2312"/>
          <w:color w:val="auto"/>
          <w:sz w:val="32"/>
        </w:rPr>
      </w:pPr>
      <w:r>
        <w:rPr>
          <w:rFonts w:hint="eastAsia" w:ascii="仿宋_GB2312" w:eastAsia="仿宋_GB2312"/>
          <w:color w:val="auto"/>
          <w:sz w:val="32"/>
        </w:rPr>
        <w:t xml:space="preserve">财政部门负责宣传营销奖励资金筹措、下达； </w:t>
      </w:r>
    </w:p>
    <w:p w14:paraId="3FB74659">
      <w:pPr>
        <w:ind w:firstLine="640" w:firstLineChars="200"/>
        <w:rPr>
          <w:rFonts w:ascii="仿宋_GB2312" w:eastAsia="仿宋_GB2312"/>
          <w:color w:val="auto"/>
          <w:sz w:val="32"/>
        </w:rPr>
      </w:pPr>
      <w:r>
        <w:rPr>
          <w:rFonts w:hint="eastAsia" w:ascii="仿宋_GB2312" w:eastAsia="仿宋_GB2312"/>
          <w:color w:val="auto"/>
          <w:sz w:val="32"/>
        </w:rPr>
        <w:t>文旅部门负责新媒体宣传营销工作的指导，及时受理处置旅游投诉；</w:t>
      </w:r>
    </w:p>
    <w:p w14:paraId="75128B96">
      <w:pPr>
        <w:ind w:firstLine="640" w:firstLineChars="200"/>
        <w:rPr>
          <w:rFonts w:ascii="仿宋_GB2312" w:eastAsia="仿宋_GB2312"/>
          <w:color w:val="auto"/>
          <w:sz w:val="32"/>
        </w:rPr>
      </w:pPr>
      <w:r>
        <w:rPr>
          <w:rFonts w:hint="eastAsia" w:ascii="仿宋_GB2312" w:eastAsia="仿宋_GB2312"/>
          <w:color w:val="auto"/>
          <w:sz w:val="32"/>
        </w:rPr>
        <w:t>市场监管部门负责依法查处不按规定明码标价、价格欺诈等不正当价格行为，查处虚假旅游宣传行为；</w:t>
      </w:r>
    </w:p>
    <w:p w14:paraId="6381EFBA">
      <w:pPr>
        <w:ind w:firstLine="640" w:firstLineChars="200"/>
        <w:rPr>
          <w:rFonts w:ascii="仿宋_GB2312" w:eastAsia="仿宋_GB2312"/>
          <w:color w:val="auto"/>
          <w:sz w:val="32"/>
        </w:rPr>
      </w:pPr>
      <w:r>
        <w:rPr>
          <w:rFonts w:hint="eastAsia" w:ascii="仿宋_GB2312" w:eastAsia="仿宋_GB2312"/>
          <w:color w:val="auto"/>
          <w:sz w:val="32"/>
        </w:rPr>
        <w:t>公安部门负责依法打击各类诈骗、倒票、侵犯公民个人信息等违法犯罪行为；</w:t>
      </w:r>
    </w:p>
    <w:p w14:paraId="0AD6A4B1">
      <w:pPr>
        <w:ind w:firstLine="640" w:firstLineChars="200"/>
        <w:rPr>
          <w:rFonts w:ascii="仿宋_GB2312" w:eastAsia="仿宋_GB2312"/>
          <w:color w:val="auto"/>
          <w:sz w:val="32"/>
        </w:rPr>
      </w:pPr>
      <w:r>
        <w:rPr>
          <w:rFonts w:hint="eastAsia" w:ascii="仿宋_GB2312" w:eastAsia="仿宋_GB2312"/>
          <w:color w:val="auto"/>
          <w:sz w:val="32"/>
        </w:rPr>
        <w:t>门票管理部门负责票务统计分析、技术服务保障，定期提供真实准确的源头数据；</w:t>
      </w:r>
    </w:p>
    <w:p w14:paraId="6778BFEA">
      <w:pPr>
        <w:ind w:firstLine="640" w:firstLineChars="200"/>
        <w:rPr>
          <w:rFonts w:ascii="仿宋_GB2312" w:eastAsia="仿宋_GB2312"/>
          <w:color w:val="auto"/>
          <w:sz w:val="32"/>
        </w:rPr>
      </w:pPr>
      <w:r>
        <w:rPr>
          <w:rFonts w:hint="eastAsia" w:ascii="仿宋_GB2312" w:eastAsia="仿宋_GB2312"/>
          <w:color w:val="auto"/>
          <w:sz w:val="32"/>
        </w:rPr>
        <w:t>融媒体部门负责新媒体宣传业务指导和考核，统筹有关综合协调事宜。</w:t>
      </w:r>
    </w:p>
    <w:p w14:paraId="1E6754E4">
      <w:pPr>
        <w:ind w:firstLine="640" w:firstLineChars="200"/>
        <w:rPr>
          <w:rFonts w:ascii="仿宋_GB2312" w:eastAsia="仿宋_GB2312"/>
          <w:color w:val="auto"/>
          <w:sz w:val="32"/>
        </w:rPr>
      </w:pPr>
      <w:r>
        <w:rPr>
          <w:rFonts w:hint="eastAsia" w:ascii="黑体" w:hAnsi="黑体" w:eastAsia="黑体" w:cs="黑体"/>
          <w:color w:val="auto"/>
          <w:sz w:val="32"/>
        </w:rPr>
        <w:t>第二十条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本办法自印发之日起试行。2026 年1月27日至印发之日前，符合本办法规定的相关事项，可参照本办法执行。</w:t>
      </w:r>
    </w:p>
    <w:p w14:paraId="7D308358">
      <w:pPr>
        <w:ind w:firstLine="640" w:firstLineChars="200"/>
        <w:rPr>
          <w:rFonts w:ascii="仿宋_GB2312" w:eastAsia="仿宋_GB2312"/>
          <w:color w:val="auto"/>
          <w:sz w:val="32"/>
        </w:rPr>
      </w:pPr>
      <w:r>
        <w:rPr>
          <w:rFonts w:hint="eastAsia" w:ascii="仿宋_GB2312" w:eastAsia="仿宋_GB2312"/>
          <w:color w:val="auto"/>
          <w:sz w:val="32"/>
        </w:rPr>
        <w:t>试行期内，出现下列情况之一的，可立即停止本办法的执行，停止执行本办法后的其他事项按本办法相关规定处置。</w:t>
      </w:r>
    </w:p>
    <w:p w14:paraId="492BC2FA">
      <w:pPr>
        <w:ind w:firstLine="640" w:firstLineChars="200"/>
        <w:rPr>
          <w:rFonts w:ascii="仿宋_GB2312" w:eastAsia="仿宋_GB2312"/>
          <w:color w:val="auto"/>
          <w:sz w:val="32"/>
        </w:rPr>
      </w:pPr>
      <w:r>
        <w:rPr>
          <w:rFonts w:hint="eastAsia" w:ascii="仿宋_GB2312" w:eastAsia="仿宋_GB2312"/>
          <w:color w:val="auto"/>
          <w:sz w:val="32"/>
        </w:rPr>
        <w:t>（一）影响正常门票销售秩序时；</w:t>
      </w:r>
    </w:p>
    <w:p w14:paraId="2EE3BBFA">
      <w:pPr>
        <w:ind w:firstLine="640" w:firstLineChars="200"/>
        <w:rPr>
          <w:rFonts w:ascii="仿宋_GB2312" w:eastAsia="仿宋_GB2312"/>
          <w:color w:val="auto"/>
          <w:sz w:val="32"/>
        </w:rPr>
      </w:pPr>
      <w:r>
        <w:rPr>
          <w:rFonts w:hint="eastAsia" w:ascii="仿宋_GB2312" w:eastAsia="仿宋_GB2312"/>
          <w:color w:val="auto"/>
          <w:sz w:val="32"/>
        </w:rPr>
        <w:t>（二）负面舆情不可控时；</w:t>
      </w:r>
    </w:p>
    <w:p w14:paraId="71AF2069">
      <w:pPr>
        <w:ind w:firstLine="640" w:firstLineChars="200"/>
        <w:rPr>
          <w:rFonts w:ascii="仿宋_GB2312" w:eastAsia="仿宋_GB2312"/>
          <w:color w:val="auto"/>
          <w:sz w:val="32"/>
        </w:rPr>
      </w:pPr>
      <w:r>
        <w:rPr>
          <w:rFonts w:hint="eastAsia" w:ascii="仿宋_GB2312" w:eastAsia="仿宋_GB2312"/>
          <w:color w:val="auto"/>
          <w:sz w:val="32"/>
        </w:rPr>
        <w:t>（三）上级要求停止本办法执行时；</w:t>
      </w:r>
    </w:p>
    <w:p w14:paraId="667B5DFE">
      <w:pPr>
        <w:ind w:firstLine="640" w:firstLineChars="200"/>
        <w:rPr>
          <w:rFonts w:ascii="仿宋_GB2312" w:eastAsia="仿宋_GB2312"/>
          <w:color w:val="auto"/>
          <w:sz w:val="32"/>
        </w:rPr>
      </w:pPr>
      <w:r>
        <w:rPr>
          <w:rFonts w:hint="eastAsia" w:ascii="仿宋_GB2312" w:eastAsia="仿宋_GB2312"/>
          <w:color w:val="auto"/>
          <w:sz w:val="32"/>
        </w:rPr>
        <w:t>（四）其他需要停止的情况。</w:t>
      </w:r>
    </w:p>
    <w:p w14:paraId="25D1D13C">
      <w:pPr>
        <w:ind w:firstLine="640" w:firstLineChars="200"/>
        <w:rPr>
          <w:rFonts w:ascii="仿宋_GB2312" w:eastAsia="仿宋_GB2312"/>
          <w:color w:val="auto"/>
          <w:sz w:val="32"/>
        </w:rPr>
      </w:pPr>
      <w:r>
        <w:rPr>
          <w:rFonts w:hint="eastAsia" w:ascii="黑体" w:hAnsi="黑体" w:eastAsia="黑体" w:cs="黑体"/>
          <w:color w:val="auto"/>
          <w:sz w:val="32"/>
        </w:rPr>
        <w:t>第二十一条</w:t>
      </w:r>
      <w:r>
        <w:rPr>
          <w:rFonts w:hint="eastAsia" w:ascii="仿宋_GB2312" w:hAnsi="黑体" w:eastAsia="仿宋_GB2312" w:cs="黑体"/>
          <w:color w:val="auto"/>
          <w:sz w:val="32"/>
        </w:rPr>
        <w:t xml:space="preserve"> </w:t>
      </w:r>
      <w:r>
        <w:rPr>
          <w:rFonts w:hint="eastAsia" w:ascii="仿宋_GB2312" w:eastAsia="仿宋_GB2312"/>
          <w:color w:val="auto"/>
          <w:sz w:val="32"/>
        </w:rPr>
        <w:t xml:space="preserve"> 本办法系九华山风景区旅游市场营销考核奖励（暂行）办法组成部分，由融媒体中心负责解释，</w:t>
      </w:r>
      <w:r>
        <w:rPr>
          <w:rFonts w:ascii="仿宋_GB2312" w:eastAsia="仿宋_GB2312"/>
          <w:color w:val="auto"/>
          <w:sz w:val="32"/>
        </w:rPr>
        <w:t>相关部门给予支持配合。</w:t>
      </w:r>
    </w:p>
    <w:p w14:paraId="01D04A09">
      <w:pPr>
        <w:ind w:firstLine="640" w:firstLineChars="200"/>
        <w:rPr>
          <w:rFonts w:ascii="仿宋_GB2312" w:eastAsia="仿宋_GB2312"/>
          <w:sz w:val="32"/>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885CC">
    <w:pPr>
      <w:pStyle w:val="3"/>
      <w:jc w:val="center"/>
      <w:rPr>
        <w:sz w:val="28"/>
        <w:szCs w:val="28"/>
      </w:rPr>
    </w:pPr>
    <w:r>
      <w:rPr>
        <w:rFonts w:hint="eastAsia"/>
        <w:sz w:val="28"/>
        <w:szCs w:val="28"/>
      </w:rPr>
      <w:t xml:space="preserve">— </w:t>
    </w:r>
    <w:sdt>
      <w:sdtPr>
        <w:rPr>
          <w:sz w:val="28"/>
          <w:szCs w:val="28"/>
        </w:rPr>
        <w:id w:val="290330503"/>
        <w:docPartObj>
          <w:docPartGallery w:val="autotext"/>
        </w:docPartObj>
      </w:sdtPr>
      <w:sdtEndPr>
        <w:rPr>
          <w:sz w:val="28"/>
          <w:szCs w:val="28"/>
        </w:rPr>
      </w:sdtEndPr>
      <w:sdtContent>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2</w:t>
        </w:r>
        <w:r>
          <w:rPr>
            <w:sz w:val="28"/>
            <w:szCs w:val="28"/>
          </w:rPr>
          <w:fldChar w:fldCharType="end"/>
        </w:r>
        <w:r>
          <w:rPr>
            <w:rFonts w:hint="eastAsia"/>
            <w:sz w:val="28"/>
            <w:szCs w:val="28"/>
          </w:rPr>
          <w:t xml:space="preserve"> —</w:t>
        </w:r>
      </w:sdtContent>
    </w:sdt>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ACEF8A"/>
    <w:multiLevelType w:val="singleLevel"/>
    <w:tmpl w:val="F7ACEF8A"/>
    <w:lvl w:ilvl="0" w:tentative="0">
      <w:start w:val="11"/>
      <w:numFmt w:val="chineseCounting"/>
      <w:suff w:val="space"/>
      <w:lvlText w:val="第%1条"/>
      <w:lvlJc w:val="left"/>
      <w:rPr>
        <w:rFonts w:hint="eastAsia" w:ascii="黑体" w:hAnsi="黑体" w:eastAsia="黑体" w:cs="黑体"/>
      </w:rPr>
    </w:lvl>
  </w:abstractNum>
  <w:abstractNum w:abstractNumId="1">
    <w:nsid w:val="01C0B66F"/>
    <w:multiLevelType w:val="singleLevel"/>
    <w:tmpl w:val="01C0B66F"/>
    <w:lvl w:ilvl="0" w:tentative="0">
      <w:start w:val="10"/>
      <w:numFmt w:val="chineseCounting"/>
      <w:suff w:val="space"/>
      <w:lvlText w:val="第%1条"/>
      <w:lvlJc w:val="left"/>
      <w:rPr>
        <w:rFonts w:hint="eastAsia" w:ascii="黑体" w:hAnsi="黑体" w:eastAsia="黑体" w:cs="黑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A736BC"/>
    <w:rsid w:val="000008E6"/>
    <w:rsid w:val="000527F6"/>
    <w:rsid w:val="00063AAA"/>
    <w:rsid w:val="000764DD"/>
    <w:rsid w:val="00084064"/>
    <w:rsid w:val="000A0D47"/>
    <w:rsid w:val="000C2523"/>
    <w:rsid w:val="000D7D3E"/>
    <w:rsid w:val="001361E1"/>
    <w:rsid w:val="0015294D"/>
    <w:rsid w:val="0017053A"/>
    <w:rsid w:val="001710D4"/>
    <w:rsid w:val="001A428F"/>
    <w:rsid w:val="001B3EF4"/>
    <w:rsid w:val="001E7A13"/>
    <w:rsid w:val="00201C0B"/>
    <w:rsid w:val="00224F80"/>
    <w:rsid w:val="00294410"/>
    <w:rsid w:val="002A4A85"/>
    <w:rsid w:val="002C6125"/>
    <w:rsid w:val="002F138D"/>
    <w:rsid w:val="00301995"/>
    <w:rsid w:val="003052F6"/>
    <w:rsid w:val="0035112F"/>
    <w:rsid w:val="003B7C2B"/>
    <w:rsid w:val="00402DD7"/>
    <w:rsid w:val="00411AAD"/>
    <w:rsid w:val="004134A4"/>
    <w:rsid w:val="00437ECD"/>
    <w:rsid w:val="004613EA"/>
    <w:rsid w:val="004E3FCF"/>
    <w:rsid w:val="004F4328"/>
    <w:rsid w:val="004F6EF5"/>
    <w:rsid w:val="005079FB"/>
    <w:rsid w:val="005129F5"/>
    <w:rsid w:val="00515DB8"/>
    <w:rsid w:val="00550AC3"/>
    <w:rsid w:val="00563234"/>
    <w:rsid w:val="00576752"/>
    <w:rsid w:val="00583035"/>
    <w:rsid w:val="005C35A9"/>
    <w:rsid w:val="005D7D0A"/>
    <w:rsid w:val="005E19D1"/>
    <w:rsid w:val="00600C3B"/>
    <w:rsid w:val="006027D8"/>
    <w:rsid w:val="00632EDD"/>
    <w:rsid w:val="006719D2"/>
    <w:rsid w:val="00676ED6"/>
    <w:rsid w:val="006828AC"/>
    <w:rsid w:val="0068752B"/>
    <w:rsid w:val="006A0AB3"/>
    <w:rsid w:val="006A1C9C"/>
    <w:rsid w:val="006A7AE1"/>
    <w:rsid w:val="006B30D4"/>
    <w:rsid w:val="006D5290"/>
    <w:rsid w:val="006D7F70"/>
    <w:rsid w:val="00705760"/>
    <w:rsid w:val="00727C71"/>
    <w:rsid w:val="0073004C"/>
    <w:rsid w:val="007329D1"/>
    <w:rsid w:val="00771B18"/>
    <w:rsid w:val="007C4D87"/>
    <w:rsid w:val="007D0A06"/>
    <w:rsid w:val="007D1F3C"/>
    <w:rsid w:val="008066DB"/>
    <w:rsid w:val="00834513"/>
    <w:rsid w:val="00864159"/>
    <w:rsid w:val="00881BF9"/>
    <w:rsid w:val="008A0E31"/>
    <w:rsid w:val="008E7BE6"/>
    <w:rsid w:val="0092176F"/>
    <w:rsid w:val="009320DD"/>
    <w:rsid w:val="0094250A"/>
    <w:rsid w:val="00953B45"/>
    <w:rsid w:val="009A6DA2"/>
    <w:rsid w:val="009B5762"/>
    <w:rsid w:val="009C5629"/>
    <w:rsid w:val="009F1FB8"/>
    <w:rsid w:val="009F6A54"/>
    <w:rsid w:val="00A07144"/>
    <w:rsid w:val="00A43BCD"/>
    <w:rsid w:val="00A452BF"/>
    <w:rsid w:val="00A517CA"/>
    <w:rsid w:val="00A7199F"/>
    <w:rsid w:val="00A769EB"/>
    <w:rsid w:val="00AE35CB"/>
    <w:rsid w:val="00B2210C"/>
    <w:rsid w:val="00B3464F"/>
    <w:rsid w:val="00B45EB2"/>
    <w:rsid w:val="00B96224"/>
    <w:rsid w:val="00BD0C77"/>
    <w:rsid w:val="00C00354"/>
    <w:rsid w:val="00C02737"/>
    <w:rsid w:val="00C22F8C"/>
    <w:rsid w:val="00C304BD"/>
    <w:rsid w:val="00C34219"/>
    <w:rsid w:val="00C36BB8"/>
    <w:rsid w:val="00C52BD7"/>
    <w:rsid w:val="00C733D4"/>
    <w:rsid w:val="00CC5A5E"/>
    <w:rsid w:val="00D06A1B"/>
    <w:rsid w:val="00D25E1C"/>
    <w:rsid w:val="00D44C37"/>
    <w:rsid w:val="00D8197E"/>
    <w:rsid w:val="00D82403"/>
    <w:rsid w:val="00DE14AB"/>
    <w:rsid w:val="00DE384E"/>
    <w:rsid w:val="00DE50A0"/>
    <w:rsid w:val="00E16CF8"/>
    <w:rsid w:val="00E3317F"/>
    <w:rsid w:val="00E95686"/>
    <w:rsid w:val="00EA5F89"/>
    <w:rsid w:val="00F224B9"/>
    <w:rsid w:val="00F317AB"/>
    <w:rsid w:val="00F41FE0"/>
    <w:rsid w:val="00F427AC"/>
    <w:rsid w:val="00F9090E"/>
    <w:rsid w:val="00FB1FCC"/>
    <w:rsid w:val="00FE4480"/>
    <w:rsid w:val="05B533AF"/>
    <w:rsid w:val="08017F69"/>
    <w:rsid w:val="0B17641C"/>
    <w:rsid w:val="0B6034E0"/>
    <w:rsid w:val="0E2E0296"/>
    <w:rsid w:val="0F3F34A7"/>
    <w:rsid w:val="1228261F"/>
    <w:rsid w:val="131455DF"/>
    <w:rsid w:val="18812209"/>
    <w:rsid w:val="1AE2256B"/>
    <w:rsid w:val="1D484219"/>
    <w:rsid w:val="242E3354"/>
    <w:rsid w:val="25E20F82"/>
    <w:rsid w:val="33E136A3"/>
    <w:rsid w:val="38B6766E"/>
    <w:rsid w:val="39010ED1"/>
    <w:rsid w:val="39920B43"/>
    <w:rsid w:val="3E252F4C"/>
    <w:rsid w:val="43F403A7"/>
    <w:rsid w:val="45CC56AE"/>
    <w:rsid w:val="4D372C3B"/>
    <w:rsid w:val="51EE4687"/>
    <w:rsid w:val="552B06C5"/>
    <w:rsid w:val="62B80AC5"/>
    <w:rsid w:val="69AD108A"/>
    <w:rsid w:val="75A73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footer"/>
    <w:basedOn w:val="1"/>
    <w:link w:val="8"/>
    <w:qFormat/>
    <w:uiPriority w:val="99"/>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脚 字符"/>
    <w:basedOn w:val="7"/>
    <w:link w:val="3"/>
    <w:uiPriority w:val="99"/>
    <w:rPr>
      <w:kern w:val="2"/>
      <w:sz w:val="18"/>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2992</Words>
  <Characters>3073</Characters>
  <Lines>46</Lines>
  <Paragraphs>12</Paragraphs>
  <TotalTime>1510</TotalTime>
  <ScaleCrop>false</ScaleCrop>
  <LinksUpToDate>false</LinksUpToDate>
  <CharactersWithSpaces>3115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2026-03-29T03:49:00Z</dcterms:created>
  <dc:creator>墨白生</dc:creator>
  <cp:lastModifiedBy>lenovo</cp:lastModifiedBy>
  <cp:lastPrinted>2026-03-30T00:26:00Z</cp:lastPrinted>
  <dcterms:modified xsi:type="dcterms:W3CDTF">2026-05-09T00:49:07Z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2F5ECAE953FE4C51BD615BE465FA95F1_13</vt:lpwstr>
  </property>
  <property fmtid="{D5CDD505-2E9C-101B-9397-08002B2CF9AE}" pid="4" name="KSOTemplateDocerSaveRecord">
    <vt:lpwstr>eyJoZGlkIjoiYWQzYmJiNTRjYzVlNmY2MmQyNDA2YjZhNzA2OTIxZmIifQ==</vt:lpwstr>
  </property>
</Properties>
</file>